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7" w:rsidRPr="00E84BA7" w:rsidRDefault="005A61B9" w:rsidP="00E84BA7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18</w:t>
      </w:r>
      <w:r w:rsidR="00E84BA7" w:rsidRPr="00E84BA7">
        <w:rPr>
          <w:rFonts w:ascii="Arial" w:eastAsia="Times New Roman" w:hAnsi="Arial" w:cs="Arial"/>
          <w:lang w:eastAsia="pl-PL"/>
        </w:rPr>
        <w:t>.10.2018 r.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E84BA7">
        <w:rPr>
          <w:rFonts w:ascii="Arial" w:eastAsia="Times New Roman" w:hAnsi="Arial" w:cs="Arial"/>
          <w:lang w:eastAsia="pl-PL"/>
        </w:rPr>
        <w:t>Zamawiający :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 xml:space="preserve">Opieki Zdrowotnej 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w Kościanie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64-000 Kościan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Ul. Szpitalna 7</w:t>
      </w:r>
    </w:p>
    <w:p w:rsidR="00E84BA7" w:rsidRDefault="00E84BA7" w:rsidP="00E84BA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lang w:eastAsia="pl-PL"/>
        </w:rPr>
      </w:pPr>
      <w:r w:rsidRPr="00E84BA7">
        <w:rPr>
          <w:rFonts w:ascii="Arial" w:eastAsia="Lucida Sans Unicode" w:hAnsi="Arial" w:cs="Arial"/>
          <w:kern w:val="1"/>
          <w:lang w:eastAsia="pl-PL"/>
        </w:rPr>
        <w:t>Tel/fax 65525 0317/655120707</w:t>
      </w:r>
    </w:p>
    <w:p w:rsidR="00893BD5" w:rsidRPr="00E84BA7" w:rsidRDefault="00893BD5" w:rsidP="00E84BA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b/>
          <w:kern w:val="1"/>
          <w:u w:val="single"/>
          <w:lang w:eastAsia="pl-PL"/>
        </w:rPr>
      </w:pPr>
      <w:r w:rsidRPr="00893BD5">
        <w:rPr>
          <w:rFonts w:ascii="Arial" w:eastAsia="Lucida Sans Unicode" w:hAnsi="Arial" w:cs="Arial"/>
          <w:b/>
          <w:kern w:val="1"/>
          <w:u w:val="single"/>
          <w:lang w:eastAsia="pl-PL"/>
        </w:rPr>
        <w:t>ODPOWIEDŹ NA I ZESTAW PYTAŃ</w:t>
      </w:r>
    </w:p>
    <w:p w:rsidR="00893BD5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E84BA7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E84BA7">
        <w:rPr>
          <w:rFonts w:ascii="Arial" w:eastAsia="Times New Roman" w:hAnsi="Arial" w:cs="Arial"/>
          <w:lang w:eastAsia="pl-PL"/>
        </w:rPr>
        <w:tab/>
      </w:r>
      <w:r w:rsidRPr="00E84BA7">
        <w:rPr>
          <w:rFonts w:ascii="Arial" w:eastAsia="Times New Roman" w:hAnsi="Arial" w:cs="Arial"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  <w:t xml:space="preserve">   </w:t>
      </w:r>
    </w:p>
    <w:p w:rsidR="00893BD5" w:rsidRPr="00E84BA7" w:rsidRDefault="00893BD5" w:rsidP="00E84BA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               </w:t>
      </w:r>
      <w:r w:rsidR="00E84BA7" w:rsidRPr="00E84BA7">
        <w:rPr>
          <w:rFonts w:ascii="Arial" w:eastAsia="Times New Roman" w:hAnsi="Arial" w:cs="Arial"/>
          <w:b/>
          <w:bCs/>
          <w:lang w:eastAsia="pl-PL"/>
        </w:rPr>
        <w:t>Do</w:t>
      </w:r>
    </w:p>
    <w:p w:rsidR="00E84BA7" w:rsidRPr="00E84BA7" w:rsidRDefault="00E84BA7" w:rsidP="00E84BA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E84BA7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E84BA7">
        <w:rPr>
          <w:rFonts w:ascii="Arial" w:eastAsia="Times New Roman" w:hAnsi="Arial" w:cs="Arial"/>
          <w:b/>
          <w:bCs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  <w:t xml:space="preserve"> zainteresowanych przetargiem</w:t>
      </w:r>
    </w:p>
    <w:p w:rsidR="00E84BA7" w:rsidRPr="00E84BA7" w:rsidRDefault="00E84BA7" w:rsidP="00893BD5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b/>
          <w:color w:val="000000"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 xml:space="preserve">znak sprawy </w:t>
      </w:r>
      <w:r>
        <w:rPr>
          <w:rFonts w:ascii="Arial" w:eastAsia="Times New Roman" w:hAnsi="Arial" w:cs="Arial"/>
          <w:b/>
          <w:color w:val="000000"/>
          <w:lang w:eastAsia="pl-PL"/>
        </w:rPr>
        <w:t>SPZOZ.EPII.23.22</w:t>
      </w:r>
      <w:r w:rsidRPr="00E84BA7">
        <w:rPr>
          <w:rFonts w:ascii="Arial" w:eastAsia="Times New Roman" w:hAnsi="Arial" w:cs="Arial"/>
          <w:b/>
          <w:color w:val="000000"/>
          <w:lang w:eastAsia="pl-PL"/>
        </w:rPr>
        <w:t>.2018</w:t>
      </w:r>
    </w:p>
    <w:p w:rsidR="00E84BA7" w:rsidRPr="00893BD5" w:rsidRDefault="00E84BA7">
      <w:pPr>
        <w:rPr>
          <w:b/>
        </w:rPr>
      </w:pPr>
      <w:proofErr w:type="spellStart"/>
      <w:r w:rsidRPr="00E84BA7">
        <w:rPr>
          <w:rFonts w:ascii="Arial" w:eastAsia="Arial Unicode MS" w:hAnsi="Arial" w:cs="Arial"/>
          <w:lang w:val="de-DE" w:eastAsia="pl-PL"/>
        </w:rPr>
        <w:t>Dotyczy</w:t>
      </w:r>
      <w:proofErr w:type="spellEnd"/>
      <w:r w:rsidRPr="00E84BA7">
        <w:rPr>
          <w:rFonts w:ascii="Arial" w:eastAsia="Arial Unicode MS" w:hAnsi="Arial" w:cs="Arial"/>
          <w:bCs/>
          <w:lang w:val="de-DE" w:eastAsia="pl-PL"/>
        </w:rPr>
        <w:t>:</w:t>
      </w:r>
      <w:r>
        <w:rPr>
          <w:rFonts w:ascii="Arial" w:eastAsia="Arial Unicode MS" w:hAnsi="Arial" w:cs="Arial"/>
          <w:bCs/>
          <w:lang w:val="de-DE" w:eastAsia="pl-PL"/>
        </w:rPr>
        <w:t xml:space="preserve"> </w:t>
      </w:r>
      <w:r w:rsidRPr="00E84BA7">
        <w:rPr>
          <w:rFonts w:ascii="Arial" w:eastAsia="Arial Unicode MS" w:hAnsi="Arial" w:cs="Arial"/>
          <w:b/>
          <w:bCs/>
          <w:lang w:val="de-DE" w:eastAsia="pl-PL"/>
        </w:rPr>
        <w:t>DOSTAWY LEKÓW</w:t>
      </w:r>
    </w:p>
    <w:p w:rsidR="00FD42A5" w:rsidRPr="003D48E0" w:rsidRDefault="00FD42A5" w:rsidP="003D48E0">
      <w:pPr>
        <w:pStyle w:val="Akapitzlist"/>
        <w:numPr>
          <w:ilvl w:val="0"/>
          <w:numId w:val="1"/>
        </w:numPr>
        <w:tabs>
          <w:tab w:val="left" w:pos="284"/>
        </w:tabs>
        <w:ind w:left="709"/>
        <w:rPr>
          <w:rFonts w:ascii="Arial" w:hAnsi="Arial" w:cs="Arial"/>
          <w:b/>
          <w:sz w:val="22"/>
          <w:szCs w:val="22"/>
          <w:u w:val="single"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 xml:space="preserve">Pytanie </w:t>
      </w:r>
    </w:p>
    <w:p w:rsidR="00E84BA7" w:rsidRDefault="00E84BA7" w:rsidP="00FD42A5">
      <w:pPr>
        <w:pStyle w:val="Akapitzlist"/>
        <w:rPr>
          <w:rFonts w:ascii="Arial" w:hAnsi="Arial" w:cs="Arial"/>
          <w:sz w:val="22"/>
          <w:szCs w:val="22"/>
        </w:rPr>
      </w:pPr>
      <w:r w:rsidRPr="00E528E0">
        <w:rPr>
          <w:rFonts w:ascii="Arial" w:hAnsi="Arial" w:cs="Arial"/>
          <w:sz w:val="22"/>
          <w:szCs w:val="22"/>
        </w:rPr>
        <w:t xml:space="preserve">Czy Zamawiający w pakiecie 13 </w:t>
      </w:r>
      <w:r w:rsidRPr="00E528E0">
        <w:rPr>
          <w:rFonts w:ascii="Arial" w:hAnsi="Arial" w:cs="Arial"/>
          <w:color w:val="000000"/>
          <w:sz w:val="22"/>
          <w:szCs w:val="22"/>
        </w:rPr>
        <w:t xml:space="preserve">poz. 24-25  wymaga stabilności fizyko-chemicznej przez 24 godziny w temperaturze 25C po </w:t>
      </w:r>
      <w:r w:rsidRPr="00E528E0">
        <w:rPr>
          <w:rFonts w:ascii="Arial" w:hAnsi="Arial" w:cs="Arial"/>
          <w:sz w:val="22"/>
          <w:szCs w:val="22"/>
        </w:rPr>
        <w:t xml:space="preserve">rozcieńczeniu, potwierdzonej w obowiązującej Charakterystyce Produktu Leczniczego </w:t>
      </w:r>
      <w:proofErr w:type="spellStart"/>
      <w:r w:rsidRPr="00E528E0">
        <w:rPr>
          <w:rFonts w:ascii="Arial" w:hAnsi="Arial" w:cs="Arial"/>
          <w:sz w:val="22"/>
          <w:szCs w:val="22"/>
        </w:rPr>
        <w:t>ChPL</w:t>
      </w:r>
      <w:proofErr w:type="spellEnd"/>
      <w:r w:rsidRPr="00E528E0">
        <w:rPr>
          <w:rFonts w:ascii="Arial" w:hAnsi="Arial" w:cs="Arial"/>
          <w:sz w:val="22"/>
          <w:szCs w:val="22"/>
        </w:rPr>
        <w:t xml:space="preserve"> ? </w:t>
      </w:r>
    </w:p>
    <w:p w:rsidR="00E37B54" w:rsidRPr="006713B1" w:rsidRDefault="00E80825" w:rsidP="00E528E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528E0" w:rsidRPr="006713B1">
        <w:rPr>
          <w:rFonts w:ascii="Arial" w:hAnsi="Arial" w:cs="Arial"/>
          <w:b/>
        </w:rPr>
        <w:t xml:space="preserve">Odp. </w:t>
      </w:r>
      <w:r w:rsidR="00263221">
        <w:rPr>
          <w:rFonts w:ascii="Arial" w:hAnsi="Arial" w:cs="Arial"/>
          <w:b/>
        </w:rPr>
        <w:t>Zamawiający nie wymaga.</w:t>
      </w:r>
    </w:p>
    <w:p w:rsidR="00FD42A5" w:rsidRPr="003D48E0" w:rsidRDefault="00FD42A5" w:rsidP="00E80825">
      <w:pPr>
        <w:pStyle w:val="Akapitzlist"/>
        <w:numPr>
          <w:ilvl w:val="0"/>
          <w:numId w:val="1"/>
        </w:numPr>
        <w:ind w:left="567" w:hanging="283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3D48E0">
        <w:rPr>
          <w:rFonts w:ascii="Arial" w:eastAsia="Times New Roman" w:hAnsi="Arial" w:cs="Arial"/>
          <w:b/>
          <w:sz w:val="22"/>
          <w:szCs w:val="22"/>
          <w:u w:val="single"/>
        </w:rPr>
        <w:t>Pytanie</w:t>
      </w:r>
    </w:p>
    <w:p w:rsidR="00E37B54" w:rsidRPr="00E528E0" w:rsidRDefault="00E37B54" w:rsidP="00FD42A5">
      <w:pPr>
        <w:pStyle w:val="Akapitzlist"/>
        <w:rPr>
          <w:rFonts w:ascii="Arial" w:eastAsia="Times New Roman" w:hAnsi="Arial" w:cs="Arial"/>
          <w:sz w:val="22"/>
          <w:szCs w:val="22"/>
        </w:rPr>
      </w:pPr>
      <w:r w:rsidRPr="00E528E0">
        <w:rPr>
          <w:rFonts w:ascii="Arial" w:eastAsia="Times New Roman" w:hAnsi="Arial" w:cs="Arial"/>
          <w:sz w:val="22"/>
          <w:szCs w:val="22"/>
        </w:rPr>
        <w:t xml:space="preserve">Czy Zamawiający wydzieli do osobnego Pakietu produkt z Pakietu 10 poz. 11 i dopuści: </w:t>
      </w:r>
    </w:p>
    <w:p w:rsidR="00E37B54" w:rsidRPr="00E528E0" w:rsidRDefault="00E37B54" w:rsidP="00E528E0">
      <w:pPr>
        <w:pStyle w:val="Akapitzlist"/>
        <w:rPr>
          <w:rFonts w:ascii="Arial" w:eastAsia="Times New Roman" w:hAnsi="Arial" w:cs="Arial"/>
          <w:sz w:val="22"/>
          <w:szCs w:val="22"/>
        </w:rPr>
      </w:pPr>
      <w:r w:rsidRPr="00E528E0">
        <w:rPr>
          <w:rFonts w:ascii="Arial" w:eastAsia="Times New Roman" w:hAnsi="Arial" w:cs="Arial"/>
          <w:sz w:val="22"/>
          <w:szCs w:val="22"/>
        </w:rPr>
        <w:t xml:space="preserve">Gaziki wykonane z wysokogatunkowej poliestrowo-wiskozowo-celulozowej miękkiej włókniny o gramaturze 70g/m2, nasączone 70% alkoholem izopropylowym, rozmiar złożonego gazika 4x4,5cm, a rozłożonego 9x12cm, trzykrotnie złożone, 6 warstw włókniny, pakowane pojedynczo w saszetki, 100szt. saszetek w opakowaniu zbiorczym-kartoniku, wyrób medyczny klasy I? </w:t>
      </w:r>
    </w:p>
    <w:p w:rsidR="00E37B54" w:rsidRPr="00E528E0" w:rsidRDefault="00E37B54" w:rsidP="00E528E0">
      <w:pPr>
        <w:pStyle w:val="Akapitzlist"/>
        <w:rPr>
          <w:rFonts w:ascii="Arial" w:eastAsia="Times New Roman" w:hAnsi="Arial" w:cs="Arial"/>
          <w:sz w:val="22"/>
          <w:szCs w:val="22"/>
        </w:rPr>
      </w:pPr>
      <w:r w:rsidRPr="00E528E0">
        <w:rPr>
          <w:rFonts w:ascii="Arial" w:eastAsia="Times New Roman" w:hAnsi="Arial" w:cs="Arial"/>
          <w:sz w:val="22"/>
          <w:szCs w:val="22"/>
        </w:rPr>
        <w:t xml:space="preserve">lub </w:t>
      </w:r>
    </w:p>
    <w:p w:rsidR="00E37B54" w:rsidRDefault="00E37B54" w:rsidP="00E80825">
      <w:pPr>
        <w:pStyle w:val="Akapitzlist"/>
        <w:ind w:left="709"/>
        <w:rPr>
          <w:rFonts w:ascii="Arial" w:eastAsia="Times New Roman" w:hAnsi="Arial" w:cs="Arial"/>
          <w:sz w:val="22"/>
          <w:szCs w:val="22"/>
        </w:rPr>
      </w:pPr>
      <w:r w:rsidRPr="00E528E0">
        <w:rPr>
          <w:rFonts w:ascii="Arial" w:eastAsia="Times New Roman" w:hAnsi="Arial" w:cs="Arial"/>
          <w:sz w:val="22"/>
          <w:szCs w:val="22"/>
        </w:rPr>
        <w:t xml:space="preserve">Gaziki wykonane z wysokogatunkowej poliestrowo-wiskozowo-celulozowej miękkiej włókniny o gramaturze 70g/m2, nasączone 70% alkoholem izopropylowym, rozmiar złożonego gazika 4x4,5cm, a rozłożonego 12x12,5cm, czterokrotnie złożone, 9 warstw włókniny, pakowane pojedynczo w saszetki, 100szt. saszetek w opakowaniu zbiorczym-kartoniku, wyrób medyczny klasy I? </w:t>
      </w:r>
    </w:p>
    <w:p w:rsidR="00E12A02" w:rsidRPr="00E80825" w:rsidRDefault="00E80825" w:rsidP="00E80825">
      <w:pPr>
        <w:tabs>
          <w:tab w:val="left" w:pos="709"/>
        </w:tabs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</w:t>
      </w:r>
      <w:r w:rsidR="00E12A02" w:rsidRPr="00E80825">
        <w:rPr>
          <w:rFonts w:ascii="Arial" w:eastAsia="Times New Roman" w:hAnsi="Arial" w:cs="Arial"/>
          <w:b/>
        </w:rPr>
        <w:t xml:space="preserve">Odp. </w:t>
      </w:r>
      <w:r w:rsidR="00263221">
        <w:rPr>
          <w:rFonts w:ascii="Arial" w:eastAsia="Times New Roman" w:hAnsi="Arial" w:cs="Arial"/>
          <w:b/>
        </w:rPr>
        <w:t>Zamawiający nie wydzieli i nie dopuszcza.</w:t>
      </w:r>
    </w:p>
    <w:p w:rsidR="00FD42A5" w:rsidRPr="003D48E0" w:rsidRDefault="00E12A02" w:rsidP="00E80825">
      <w:pPr>
        <w:pStyle w:val="Akapitzlist"/>
        <w:numPr>
          <w:ilvl w:val="0"/>
          <w:numId w:val="1"/>
        </w:numPr>
        <w:tabs>
          <w:tab w:val="left" w:pos="284"/>
        </w:tabs>
        <w:ind w:left="709" w:hanging="425"/>
        <w:rPr>
          <w:rFonts w:ascii="Arial" w:eastAsia="Times New Roman" w:hAnsi="Arial" w:cs="Arial"/>
          <w:b/>
          <w:sz w:val="22"/>
          <w:szCs w:val="22"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42A5" w:rsidRPr="003D48E0">
        <w:rPr>
          <w:rFonts w:ascii="Arial" w:hAnsi="Arial" w:cs="Arial"/>
          <w:b/>
          <w:sz w:val="22"/>
          <w:szCs w:val="22"/>
          <w:u w:val="single"/>
        </w:rPr>
        <w:t>Pytanie</w:t>
      </w:r>
      <w:r w:rsidRPr="003D48E0">
        <w:rPr>
          <w:rFonts w:ascii="Arial" w:hAnsi="Arial" w:cs="Arial"/>
          <w:b/>
          <w:sz w:val="22"/>
          <w:szCs w:val="22"/>
        </w:rPr>
        <w:t xml:space="preserve">  </w:t>
      </w:r>
    </w:p>
    <w:p w:rsidR="00E12A02" w:rsidRPr="000E1442" w:rsidRDefault="00E12A02" w:rsidP="00E80825">
      <w:pPr>
        <w:pStyle w:val="Akapitzlist"/>
        <w:tabs>
          <w:tab w:val="left" w:pos="567"/>
        </w:tabs>
        <w:rPr>
          <w:rFonts w:ascii="Arial" w:eastAsia="Times New Roman" w:hAnsi="Arial" w:cs="Arial"/>
          <w:sz w:val="22"/>
          <w:szCs w:val="22"/>
          <w:u w:val="single"/>
        </w:rPr>
      </w:pPr>
      <w:r w:rsidRPr="000E1442">
        <w:rPr>
          <w:rFonts w:ascii="Arial" w:hAnsi="Arial" w:cs="Arial"/>
          <w:sz w:val="22"/>
          <w:szCs w:val="22"/>
          <w:u w:val="single"/>
        </w:rPr>
        <w:t>Pakiet17pozycja</w:t>
      </w:r>
      <w:r w:rsidR="00304508" w:rsidRPr="000E1442">
        <w:rPr>
          <w:rFonts w:ascii="Arial" w:hAnsi="Arial" w:cs="Arial"/>
          <w:sz w:val="22"/>
          <w:szCs w:val="22"/>
          <w:u w:val="single"/>
        </w:rPr>
        <w:t xml:space="preserve">7 </w:t>
      </w:r>
    </w:p>
    <w:p w:rsidR="00E12A02" w:rsidRDefault="00304508" w:rsidP="005A61B9">
      <w:pPr>
        <w:pStyle w:val="Akapitzlist"/>
        <w:numPr>
          <w:ilvl w:val="0"/>
          <w:numId w:val="2"/>
        </w:numPr>
        <w:tabs>
          <w:tab w:val="left" w:pos="567"/>
        </w:tabs>
        <w:ind w:left="426" w:firstLine="11"/>
        <w:jc w:val="left"/>
        <w:rPr>
          <w:rFonts w:ascii="Arial" w:hAnsi="Arial" w:cs="Arial"/>
          <w:sz w:val="22"/>
          <w:szCs w:val="22"/>
        </w:rPr>
      </w:pPr>
      <w:r w:rsidRPr="00E12A02">
        <w:rPr>
          <w:rFonts w:ascii="Arial" w:hAnsi="Arial" w:cs="Arial"/>
          <w:sz w:val="22"/>
          <w:szCs w:val="22"/>
        </w:rPr>
        <w:t xml:space="preserve">Czy Zamawiający dopuści produkt </w:t>
      </w:r>
      <w:proofErr w:type="spellStart"/>
      <w:r w:rsidRPr="00E12A02">
        <w:rPr>
          <w:rFonts w:ascii="Arial" w:hAnsi="Arial" w:cs="Arial"/>
          <w:sz w:val="22"/>
          <w:szCs w:val="22"/>
        </w:rPr>
        <w:t>Citra</w:t>
      </w:r>
      <w:proofErr w:type="spellEnd"/>
      <w:r w:rsidRPr="00E12A02">
        <w:rPr>
          <w:rFonts w:ascii="Arial" w:hAnsi="Arial" w:cs="Arial"/>
          <w:sz w:val="22"/>
          <w:szCs w:val="22"/>
        </w:rPr>
        <w:t>-Lock™ ( cytrynian sodu ) w</w:t>
      </w:r>
      <w:r w:rsidRPr="00E12A02">
        <w:rPr>
          <w:rFonts w:ascii="Arial" w:hAnsi="Arial" w:cs="Arial"/>
          <w:sz w:val="22"/>
          <w:szCs w:val="22"/>
        </w:rPr>
        <w:br/>
        <w:t xml:space="preserve">stężeniu 4% w postaci bezigłowej ampułki x 5ml z systemem </w:t>
      </w:r>
      <w:proofErr w:type="spellStart"/>
      <w:r w:rsidRPr="00E12A02">
        <w:rPr>
          <w:rFonts w:ascii="Arial" w:hAnsi="Arial" w:cs="Arial"/>
          <w:sz w:val="22"/>
          <w:szCs w:val="22"/>
        </w:rPr>
        <w:t>Luer</w:t>
      </w:r>
      <w:proofErr w:type="spellEnd"/>
      <w:r w:rsidRPr="00E12A02">
        <w:rPr>
          <w:rFonts w:ascii="Arial" w:hAnsi="Arial" w:cs="Arial"/>
          <w:sz w:val="22"/>
          <w:szCs w:val="22"/>
        </w:rPr>
        <w:t xml:space="preserve"> Slip,</w:t>
      </w:r>
      <w:r w:rsidRPr="00E12A02">
        <w:rPr>
          <w:rFonts w:ascii="Arial" w:hAnsi="Arial" w:cs="Arial"/>
          <w:sz w:val="22"/>
          <w:szCs w:val="22"/>
        </w:rPr>
        <w:br/>
      </w:r>
      <w:proofErr w:type="spellStart"/>
      <w:r w:rsidRPr="00E12A02">
        <w:rPr>
          <w:rFonts w:ascii="Arial" w:hAnsi="Arial" w:cs="Arial"/>
          <w:sz w:val="22"/>
          <w:szCs w:val="22"/>
        </w:rPr>
        <w:t>Luer</w:t>
      </w:r>
      <w:proofErr w:type="spellEnd"/>
      <w:r w:rsidRPr="00E12A02">
        <w:rPr>
          <w:rFonts w:ascii="Arial" w:hAnsi="Arial" w:cs="Arial"/>
          <w:sz w:val="22"/>
          <w:szCs w:val="22"/>
        </w:rPr>
        <w:t xml:space="preserve"> Lock skuteczność potwierdzona wieloma badaniami klinicznymi w</w:t>
      </w:r>
      <w:r w:rsidRPr="00E12A02">
        <w:rPr>
          <w:rFonts w:ascii="Arial" w:hAnsi="Arial" w:cs="Arial"/>
          <w:sz w:val="22"/>
          <w:szCs w:val="22"/>
        </w:rPr>
        <w:br/>
      </w:r>
      <w:proofErr w:type="spellStart"/>
      <w:r w:rsidRPr="00E12A02">
        <w:rPr>
          <w:rFonts w:ascii="Arial" w:hAnsi="Arial" w:cs="Arial"/>
          <w:sz w:val="22"/>
          <w:szCs w:val="22"/>
        </w:rPr>
        <w:t>porównaniudo</w:t>
      </w:r>
      <w:proofErr w:type="spellEnd"/>
      <w:r w:rsidRPr="00E12A02">
        <w:rPr>
          <w:rFonts w:ascii="Arial" w:hAnsi="Arial" w:cs="Arial"/>
          <w:sz w:val="22"/>
          <w:szCs w:val="22"/>
        </w:rPr>
        <w:t xml:space="preserve"> Heparyny, stosowany w celu utrzymania prawidłowej</w:t>
      </w:r>
      <w:r w:rsidRPr="00E12A02">
        <w:rPr>
          <w:rFonts w:ascii="Arial" w:hAnsi="Arial" w:cs="Arial"/>
          <w:sz w:val="22"/>
          <w:szCs w:val="22"/>
        </w:rPr>
        <w:br/>
        <w:t>drożności cewnika i/lub portu dożylnego ograniczając krwawienia (</w:t>
      </w:r>
      <w:r w:rsidRPr="00E12A02">
        <w:rPr>
          <w:rFonts w:ascii="Arial" w:hAnsi="Arial" w:cs="Arial"/>
          <w:sz w:val="22"/>
          <w:szCs w:val="22"/>
        </w:rPr>
        <w:br/>
        <w:t>pacjenci z HIT ), stosowany jako skuteczne i bezpieczn</w:t>
      </w:r>
      <w:r w:rsidR="00E12A02">
        <w:rPr>
          <w:rFonts w:ascii="Arial" w:hAnsi="Arial" w:cs="Arial"/>
          <w:sz w:val="22"/>
          <w:szCs w:val="22"/>
        </w:rPr>
        <w:t>e rozwiązanie</w:t>
      </w:r>
      <w:r w:rsidR="00E12A02">
        <w:rPr>
          <w:rFonts w:ascii="Arial" w:hAnsi="Arial" w:cs="Arial"/>
          <w:sz w:val="22"/>
          <w:szCs w:val="22"/>
        </w:rPr>
        <w:br/>
        <w:t xml:space="preserve">przeciwzakrzepowe </w:t>
      </w:r>
      <w:r w:rsidRPr="00E12A02">
        <w:rPr>
          <w:rFonts w:ascii="Arial" w:hAnsi="Arial" w:cs="Arial"/>
          <w:sz w:val="22"/>
          <w:szCs w:val="22"/>
        </w:rPr>
        <w:t>i przeciwbakteryjne?</w:t>
      </w:r>
    </w:p>
    <w:p w:rsidR="00E84BA7" w:rsidRPr="00263221" w:rsidRDefault="00E12A02" w:rsidP="00B554F7">
      <w:pPr>
        <w:tabs>
          <w:tab w:val="left" w:pos="426"/>
        </w:tabs>
        <w:spacing w:after="0"/>
        <w:ind w:left="426"/>
        <w:rPr>
          <w:rFonts w:ascii="Arial" w:eastAsia="Times New Roman" w:hAnsi="Arial" w:cs="Arial"/>
          <w:b/>
        </w:rPr>
      </w:pPr>
      <w:r w:rsidRPr="00E80825">
        <w:rPr>
          <w:rFonts w:ascii="Arial" w:hAnsi="Arial" w:cs="Arial"/>
          <w:b/>
        </w:rPr>
        <w:t>Odp</w:t>
      </w:r>
      <w:r w:rsidR="000E1442">
        <w:rPr>
          <w:rFonts w:ascii="Arial" w:hAnsi="Arial" w:cs="Arial"/>
          <w:b/>
        </w:rPr>
        <w:t>.</w:t>
      </w:r>
      <w:r w:rsidR="00263221" w:rsidRPr="00E80825">
        <w:rPr>
          <w:rFonts w:ascii="Arial" w:eastAsia="Times New Roman" w:hAnsi="Arial" w:cs="Arial"/>
          <w:b/>
        </w:rPr>
        <w:t xml:space="preserve"> </w:t>
      </w:r>
      <w:r w:rsidR="00263221">
        <w:rPr>
          <w:rFonts w:ascii="Arial" w:eastAsia="Times New Roman" w:hAnsi="Arial" w:cs="Arial"/>
          <w:b/>
        </w:rPr>
        <w:t>Zamawiający nie dopuszcza.</w:t>
      </w:r>
      <w:r w:rsidR="00304508" w:rsidRPr="00E80825">
        <w:rPr>
          <w:rFonts w:ascii="Arial" w:hAnsi="Arial" w:cs="Arial"/>
        </w:rPr>
        <w:br/>
        <w:t>2. Czy Zamawiający dopuści produkt o pojemności 5 ml pakowany po 20</w:t>
      </w:r>
      <w:r w:rsidR="00304508" w:rsidRPr="00E80825">
        <w:rPr>
          <w:rFonts w:ascii="Arial" w:hAnsi="Arial" w:cs="Arial"/>
        </w:rPr>
        <w:br/>
        <w:t>szt. w kartonie z przeliczeniem zamawianej ilości?</w:t>
      </w:r>
    </w:p>
    <w:p w:rsidR="00E12A02" w:rsidRPr="00E80825" w:rsidRDefault="00B554F7" w:rsidP="00E80825">
      <w:pPr>
        <w:tabs>
          <w:tab w:val="left" w:pos="567"/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12A02" w:rsidRPr="00E80825">
        <w:rPr>
          <w:rFonts w:ascii="Arial" w:hAnsi="Arial" w:cs="Arial"/>
          <w:b/>
        </w:rPr>
        <w:t xml:space="preserve">Odp. </w:t>
      </w:r>
      <w:r w:rsidR="00263221">
        <w:rPr>
          <w:rFonts w:ascii="Arial" w:eastAsia="Times New Roman" w:hAnsi="Arial" w:cs="Arial"/>
          <w:b/>
        </w:rPr>
        <w:t>Zamawiający nie dopuszcza.</w:t>
      </w:r>
    </w:p>
    <w:p w:rsidR="00263221" w:rsidRPr="00263221" w:rsidRDefault="00263221" w:rsidP="00263221">
      <w:pPr>
        <w:pStyle w:val="Akapitzlist"/>
        <w:ind w:left="709"/>
        <w:rPr>
          <w:rStyle w:val="s13"/>
          <w:rFonts w:ascii="Arial" w:hAnsi="Arial" w:cs="Arial"/>
          <w:b/>
        </w:rPr>
      </w:pPr>
    </w:p>
    <w:p w:rsidR="00FD42A5" w:rsidRPr="003D48E0" w:rsidRDefault="00FD42A5" w:rsidP="00E80825">
      <w:pPr>
        <w:pStyle w:val="Akapitzlist"/>
        <w:numPr>
          <w:ilvl w:val="0"/>
          <w:numId w:val="1"/>
        </w:numPr>
        <w:ind w:left="709" w:hanging="425"/>
        <w:rPr>
          <w:rStyle w:val="s13"/>
          <w:rFonts w:ascii="Arial" w:hAnsi="Arial" w:cs="Arial"/>
          <w:b/>
        </w:rPr>
      </w:pPr>
      <w:r w:rsidRPr="003D48E0">
        <w:rPr>
          <w:rStyle w:val="s13"/>
          <w:rFonts w:ascii="Arial" w:hAnsi="Arial" w:cs="Arial"/>
          <w:b/>
          <w:sz w:val="22"/>
          <w:szCs w:val="22"/>
          <w:u w:val="single"/>
        </w:rPr>
        <w:lastRenderedPageBreak/>
        <w:t>Pytanie</w:t>
      </w:r>
    </w:p>
    <w:p w:rsidR="006713B1" w:rsidRPr="005A61B9" w:rsidRDefault="006713B1" w:rsidP="00FD42A5">
      <w:pPr>
        <w:pStyle w:val="Akapitzlist"/>
        <w:rPr>
          <w:rStyle w:val="s13"/>
          <w:rFonts w:ascii="Arial" w:hAnsi="Arial" w:cs="Arial"/>
        </w:rPr>
      </w:pPr>
      <w:r w:rsidRPr="006713B1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6713B1">
        <w:rPr>
          <w:rFonts w:ascii="Arial" w:hAnsi="Arial" w:cs="Arial"/>
          <w:sz w:val="22"/>
          <w:szCs w:val="22"/>
        </w:rPr>
        <w:t xml:space="preserve">pakiecie </w:t>
      </w:r>
      <w:bookmarkStart w:id="0" w:name="_Hlk527455953"/>
      <w:r w:rsidRPr="006713B1">
        <w:rPr>
          <w:rFonts w:ascii="Arial" w:hAnsi="Arial" w:cs="Arial"/>
          <w:sz w:val="22"/>
          <w:szCs w:val="22"/>
        </w:rPr>
        <w:t xml:space="preserve">Nr 9 poz. 1, 2 i 3 (BUDESONIDUM PULMICORT 0,25;   0,125 i 0,5 mg/ml x 20 wkładów do nebulizacji) </w:t>
      </w:r>
      <w:bookmarkEnd w:id="0"/>
      <w:r w:rsidRPr="005A61B9">
        <w:rPr>
          <w:rStyle w:val="s13"/>
          <w:rFonts w:ascii="Arial" w:hAnsi="Arial" w:cs="Arial"/>
          <w:sz w:val="22"/>
          <w:szCs w:val="22"/>
        </w:rPr>
        <w:t>Zamawiający wymaga produktu, po którego zastosowaniu poprawa stanu klinicznego może nastąpić już w ciągu kilku godzin od rozpoczęcia leczenia?</w:t>
      </w:r>
    </w:p>
    <w:p w:rsidR="006713B1" w:rsidRPr="006713B1" w:rsidRDefault="006713B1" w:rsidP="006713B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Odp. </w:t>
      </w:r>
      <w:r w:rsidR="00263221">
        <w:rPr>
          <w:rFonts w:ascii="Arial" w:eastAsia="Times New Roman" w:hAnsi="Arial" w:cs="Arial"/>
          <w:b/>
        </w:rPr>
        <w:t>Zamawiający nie wymaga.</w:t>
      </w:r>
    </w:p>
    <w:p w:rsidR="003D48E0" w:rsidRPr="003D48E0" w:rsidRDefault="00FD42A5" w:rsidP="003D48E0">
      <w:pPr>
        <w:pStyle w:val="Akapitzlist"/>
        <w:numPr>
          <w:ilvl w:val="0"/>
          <w:numId w:val="1"/>
        </w:numPr>
        <w:ind w:left="709" w:hanging="425"/>
        <w:rPr>
          <w:rFonts w:ascii="Arial" w:hAnsi="Arial" w:cs="Arial"/>
          <w:b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>Pytanie</w:t>
      </w:r>
    </w:p>
    <w:p w:rsidR="006713B1" w:rsidRPr="005A61B9" w:rsidRDefault="006713B1" w:rsidP="003D48E0">
      <w:pPr>
        <w:pStyle w:val="Akapitzlist"/>
        <w:rPr>
          <w:rFonts w:ascii="Arial" w:hAnsi="Arial" w:cs="Arial"/>
        </w:rPr>
      </w:pPr>
      <w:r w:rsidRPr="005A61B9">
        <w:rPr>
          <w:rFonts w:ascii="Arial" w:hAnsi="Arial" w:cs="Arial"/>
          <w:sz w:val="22"/>
          <w:szCs w:val="22"/>
        </w:rPr>
        <w:t>Czy Zamawiający w pakiecie Nr 9 poz. 1, 2 i 3 (BUDESONIDUM PULMICORT 0,25;   0,125 i 0,5 mg/ml x 20 wkładów do nebulizacji) wyraża zgodę na wycenę leku, którego zawartości po otwarciu pojemnika nie można,</w:t>
      </w:r>
      <w:bookmarkStart w:id="1" w:name="_Hlk506290657"/>
      <w:r w:rsidRPr="005A61B9">
        <w:rPr>
          <w:rFonts w:ascii="Arial" w:hAnsi="Arial" w:cs="Arial"/>
          <w:sz w:val="22"/>
          <w:szCs w:val="22"/>
        </w:rPr>
        <w:t xml:space="preserve"> zgodnie z obowiązującą Charakterystyką Produktu Leczniczego, </w:t>
      </w:r>
      <w:bookmarkEnd w:id="1"/>
      <w:r w:rsidRPr="005A61B9">
        <w:rPr>
          <w:rFonts w:ascii="Arial" w:hAnsi="Arial" w:cs="Arial"/>
          <w:sz w:val="22"/>
          <w:szCs w:val="22"/>
        </w:rPr>
        <w:t>przechowywać do 12 godzin?</w:t>
      </w:r>
    </w:p>
    <w:p w:rsidR="006713B1" w:rsidRPr="006713B1" w:rsidRDefault="00E80825" w:rsidP="006713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713B1">
        <w:rPr>
          <w:rFonts w:ascii="Arial" w:hAnsi="Arial" w:cs="Arial"/>
          <w:b/>
        </w:rPr>
        <w:t>Odp.</w:t>
      </w:r>
      <w:r w:rsidR="00263221">
        <w:rPr>
          <w:rFonts w:ascii="Arial" w:hAnsi="Arial" w:cs="Arial"/>
          <w:b/>
        </w:rPr>
        <w:t xml:space="preserve"> Zamawiający wyraża zgodę.</w:t>
      </w:r>
    </w:p>
    <w:p w:rsidR="003D48E0" w:rsidRPr="003D48E0" w:rsidRDefault="003D48E0" w:rsidP="003D48E0">
      <w:pPr>
        <w:pStyle w:val="Akapitzlist"/>
        <w:numPr>
          <w:ilvl w:val="0"/>
          <w:numId w:val="1"/>
        </w:numPr>
        <w:ind w:left="709" w:hanging="425"/>
        <w:rPr>
          <w:rFonts w:ascii="Arial" w:hAnsi="Arial" w:cs="Arial"/>
          <w:b/>
          <w:bCs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>Pytanie</w:t>
      </w:r>
    </w:p>
    <w:p w:rsidR="006713B1" w:rsidRPr="005A61B9" w:rsidRDefault="006713B1" w:rsidP="003D48E0">
      <w:pPr>
        <w:pStyle w:val="Akapitzlist"/>
        <w:rPr>
          <w:rFonts w:ascii="Arial" w:hAnsi="Arial" w:cs="Arial"/>
          <w:bCs/>
        </w:rPr>
      </w:pPr>
      <w:r w:rsidRPr="005A61B9">
        <w:rPr>
          <w:rFonts w:ascii="Arial" w:hAnsi="Arial" w:cs="Arial"/>
          <w:sz w:val="22"/>
          <w:szCs w:val="22"/>
        </w:rPr>
        <w:t xml:space="preserve">Czy Zamawiający w pakiecie Nr 9 poz. 1, 2 i 3 (BUDESONIDUM PULMICORT 0,25;   0,125 i 0,5 mg/ml x 20 wkładów do nebulizacji) dopuszcza wycenę leku, którego nie można mieszać z </w:t>
      </w:r>
      <w:proofErr w:type="spellStart"/>
      <w:r w:rsidRPr="005A61B9">
        <w:rPr>
          <w:rFonts w:ascii="Arial" w:hAnsi="Arial" w:cs="Arial"/>
          <w:sz w:val="22"/>
          <w:szCs w:val="22"/>
        </w:rPr>
        <w:t>Berodualem</w:t>
      </w:r>
      <w:proofErr w:type="spellEnd"/>
      <w:r w:rsidRPr="005A61B9">
        <w:rPr>
          <w:rFonts w:ascii="Arial" w:hAnsi="Arial" w:cs="Arial"/>
          <w:sz w:val="22"/>
          <w:szCs w:val="22"/>
        </w:rPr>
        <w:t xml:space="preserve"> ani z </w:t>
      </w:r>
      <w:proofErr w:type="spellStart"/>
      <w:r w:rsidRPr="005A61B9">
        <w:rPr>
          <w:rFonts w:ascii="Arial" w:hAnsi="Arial" w:cs="Arial"/>
          <w:sz w:val="22"/>
          <w:szCs w:val="22"/>
        </w:rPr>
        <w:t>acetylocysteiną</w:t>
      </w:r>
      <w:proofErr w:type="spellEnd"/>
      <w:r w:rsidRPr="005A61B9">
        <w:rPr>
          <w:rFonts w:ascii="Arial" w:hAnsi="Arial" w:cs="Arial"/>
          <w:sz w:val="22"/>
          <w:szCs w:val="22"/>
        </w:rPr>
        <w:t xml:space="preserve">? </w:t>
      </w:r>
    </w:p>
    <w:p w:rsidR="006713B1" w:rsidRPr="005A61B9" w:rsidRDefault="00E80825" w:rsidP="006713B1">
      <w:pPr>
        <w:jc w:val="both"/>
        <w:rPr>
          <w:rFonts w:ascii="Arial" w:hAnsi="Arial" w:cs="Arial"/>
        </w:rPr>
      </w:pPr>
      <w:r w:rsidRPr="005A61B9">
        <w:rPr>
          <w:rFonts w:ascii="Arial" w:hAnsi="Arial" w:cs="Arial"/>
        </w:rPr>
        <w:t xml:space="preserve">   </w:t>
      </w:r>
      <w:r w:rsidR="006713B1" w:rsidRPr="00B554F7">
        <w:rPr>
          <w:rFonts w:ascii="Arial" w:hAnsi="Arial" w:cs="Arial"/>
          <w:b/>
        </w:rPr>
        <w:t>Odp.</w:t>
      </w:r>
      <w:r w:rsidR="006713B1" w:rsidRPr="005A61B9">
        <w:rPr>
          <w:rFonts w:ascii="Arial" w:hAnsi="Arial" w:cs="Arial"/>
        </w:rPr>
        <w:t xml:space="preserve"> </w:t>
      </w:r>
      <w:r w:rsidR="00263221" w:rsidRPr="00263221">
        <w:rPr>
          <w:rFonts w:ascii="Arial" w:hAnsi="Arial" w:cs="Arial"/>
          <w:b/>
        </w:rPr>
        <w:t>Zamawiający dopuszcza</w:t>
      </w:r>
      <w:r w:rsidR="00263221">
        <w:rPr>
          <w:rFonts w:ascii="Arial" w:hAnsi="Arial" w:cs="Arial"/>
        </w:rPr>
        <w:t>.</w:t>
      </w:r>
    </w:p>
    <w:p w:rsidR="003D48E0" w:rsidRPr="003D48E0" w:rsidRDefault="003D48E0" w:rsidP="003D48E0">
      <w:pPr>
        <w:pStyle w:val="Akapitzlist"/>
        <w:numPr>
          <w:ilvl w:val="0"/>
          <w:numId w:val="1"/>
        </w:numPr>
        <w:ind w:left="709" w:hanging="567"/>
        <w:rPr>
          <w:rStyle w:val="s13"/>
          <w:rFonts w:ascii="Arial" w:hAnsi="Arial" w:cs="Arial"/>
          <w:b/>
        </w:rPr>
      </w:pPr>
      <w:r w:rsidRPr="003D48E0">
        <w:rPr>
          <w:rStyle w:val="s13"/>
          <w:rFonts w:ascii="Arial" w:hAnsi="Arial" w:cs="Arial"/>
          <w:b/>
          <w:sz w:val="22"/>
          <w:szCs w:val="22"/>
          <w:u w:val="single"/>
        </w:rPr>
        <w:t>Pytanie</w:t>
      </w:r>
    </w:p>
    <w:p w:rsidR="006713B1" w:rsidRPr="005A61B9" w:rsidRDefault="006713B1" w:rsidP="003D48E0">
      <w:pPr>
        <w:pStyle w:val="Akapitzlist"/>
        <w:rPr>
          <w:rStyle w:val="s13"/>
          <w:rFonts w:ascii="Arial" w:hAnsi="Arial" w:cs="Arial"/>
        </w:rPr>
      </w:pPr>
      <w:r w:rsidRPr="005A61B9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5A61B9">
        <w:rPr>
          <w:rFonts w:ascii="Arial" w:hAnsi="Arial" w:cs="Arial"/>
          <w:sz w:val="22"/>
          <w:szCs w:val="22"/>
        </w:rPr>
        <w:t xml:space="preserve">pakiecie Nr 9 poz. 1, 2 i 3 (BUDESONIDUM PULMICORT 0,25;   0,125 i 0,5 mg/ml x 20 wkładów do nebulizacji) </w:t>
      </w:r>
      <w:r w:rsidRPr="005A61B9">
        <w:rPr>
          <w:rStyle w:val="s13"/>
          <w:rFonts w:ascii="Arial" w:hAnsi="Arial" w:cs="Arial"/>
          <w:sz w:val="22"/>
          <w:szCs w:val="22"/>
        </w:rPr>
        <w:t>Zamawiający wymaga</w:t>
      </w:r>
      <w:r w:rsidRPr="005A61B9">
        <w:rPr>
          <w:rFonts w:ascii="Arial" w:hAnsi="Arial" w:cs="Arial"/>
          <w:sz w:val="22"/>
          <w:szCs w:val="22"/>
        </w:rPr>
        <w:t xml:space="preserve"> zgodnie z obowiązującą Charakterystyką Produktu Leczniczego,</w:t>
      </w:r>
      <w:r w:rsidRPr="005A61B9">
        <w:rPr>
          <w:rStyle w:val="s13"/>
          <w:rFonts w:ascii="Arial" w:hAnsi="Arial" w:cs="Arial"/>
          <w:sz w:val="22"/>
          <w:szCs w:val="22"/>
        </w:rPr>
        <w:t xml:space="preserve"> leku w postaci </w:t>
      </w:r>
      <w:proofErr w:type="spellStart"/>
      <w:r w:rsidRPr="005A61B9">
        <w:rPr>
          <w:rStyle w:val="s13"/>
          <w:rFonts w:ascii="Arial" w:hAnsi="Arial" w:cs="Arial"/>
          <w:sz w:val="22"/>
          <w:szCs w:val="22"/>
        </w:rPr>
        <w:t>budezonidu</w:t>
      </w:r>
      <w:proofErr w:type="spellEnd"/>
      <w:r w:rsidRPr="005A61B9">
        <w:rPr>
          <w:rStyle w:val="s13"/>
          <w:rFonts w:ascii="Arial" w:hAnsi="Arial" w:cs="Arial"/>
          <w:sz w:val="22"/>
          <w:szCs w:val="22"/>
        </w:rPr>
        <w:t xml:space="preserve"> </w:t>
      </w:r>
      <w:proofErr w:type="spellStart"/>
      <w:r w:rsidRPr="005A61B9">
        <w:rPr>
          <w:rStyle w:val="s13"/>
          <w:rFonts w:ascii="Arial" w:hAnsi="Arial" w:cs="Arial"/>
          <w:sz w:val="22"/>
          <w:szCs w:val="22"/>
        </w:rPr>
        <w:t>zmikronizowanego</w:t>
      </w:r>
      <w:proofErr w:type="spellEnd"/>
      <w:r w:rsidRPr="005A61B9">
        <w:rPr>
          <w:rStyle w:val="s13"/>
          <w:rFonts w:ascii="Arial" w:hAnsi="Arial" w:cs="Arial"/>
          <w:sz w:val="22"/>
          <w:szCs w:val="22"/>
        </w:rPr>
        <w:t>?</w:t>
      </w:r>
    </w:p>
    <w:p w:rsidR="006713B1" w:rsidRPr="006713B1" w:rsidRDefault="00E80825" w:rsidP="006713B1">
      <w:pPr>
        <w:rPr>
          <w:rStyle w:val="s13"/>
          <w:rFonts w:ascii="Arial" w:hAnsi="Arial" w:cs="Arial"/>
          <w:b/>
        </w:rPr>
      </w:pPr>
      <w:r>
        <w:rPr>
          <w:rStyle w:val="s13"/>
          <w:rFonts w:ascii="Arial" w:hAnsi="Arial" w:cs="Arial"/>
          <w:b/>
        </w:rPr>
        <w:t xml:space="preserve">    </w:t>
      </w:r>
      <w:r w:rsidR="006713B1">
        <w:rPr>
          <w:rStyle w:val="s13"/>
          <w:rFonts w:ascii="Arial" w:hAnsi="Arial" w:cs="Arial"/>
          <w:b/>
        </w:rPr>
        <w:t>Odp.</w:t>
      </w:r>
      <w:r w:rsidR="00263221" w:rsidRPr="00263221">
        <w:rPr>
          <w:rFonts w:ascii="Arial" w:eastAsia="Times New Roman" w:hAnsi="Arial" w:cs="Arial"/>
          <w:b/>
        </w:rPr>
        <w:t xml:space="preserve"> </w:t>
      </w:r>
      <w:r w:rsidR="00263221">
        <w:rPr>
          <w:rFonts w:ascii="Arial" w:eastAsia="Times New Roman" w:hAnsi="Arial" w:cs="Arial"/>
          <w:b/>
        </w:rPr>
        <w:t>Zamawiający  wymaga.</w:t>
      </w:r>
    </w:p>
    <w:p w:rsidR="003D48E0" w:rsidRPr="003D48E0" w:rsidRDefault="003D48E0" w:rsidP="003D48E0">
      <w:pPr>
        <w:pStyle w:val="Akapitzlist"/>
        <w:numPr>
          <w:ilvl w:val="0"/>
          <w:numId w:val="1"/>
        </w:numPr>
        <w:tabs>
          <w:tab w:val="left" w:pos="142"/>
        </w:tabs>
        <w:ind w:left="709" w:hanging="567"/>
        <w:rPr>
          <w:rFonts w:ascii="Arial" w:hAnsi="Arial" w:cs="Arial"/>
          <w:b/>
          <w:sz w:val="22"/>
          <w:szCs w:val="22"/>
          <w:u w:val="single"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 xml:space="preserve">Pytanie </w:t>
      </w:r>
    </w:p>
    <w:p w:rsidR="006713B1" w:rsidRPr="005A61B9" w:rsidRDefault="006713B1" w:rsidP="003D48E0">
      <w:pPr>
        <w:pStyle w:val="Akapitzlist"/>
        <w:rPr>
          <w:rFonts w:ascii="Arial" w:hAnsi="Arial" w:cs="Arial"/>
          <w:sz w:val="24"/>
        </w:rPr>
      </w:pPr>
      <w:r w:rsidRPr="006713B1">
        <w:rPr>
          <w:rFonts w:ascii="Arial" w:hAnsi="Arial" w:cs="Arial"/>
          <w:sz w:val="22"/>
          <w:szCs w:val="22"/>
        </w:rPr>
        <w:t xml:space="preserve">Czy Zamawiający w pakiecie Nr 9 poz. 1, 2 i 3 (BUDESONIDUM PULMICORT 0,25;   0,125 i 0,5 mg/ml x 20 wkładów do nebulizacji) </w:t>
      </w:r>
      <w:r w:rsidRPr="005A61B9">
        <w:rPr>
          <w:rFonts w:ascii="Arial" w:hAnsi="Arial" w:cs="Arial"/>
          <w:sz w:val="22"/>
          <w:szCs w:val="22"/>
        </w:rPr>
        <w:t>wymaga, aby leki o tej samej nazwie międzynarodowej (</w:t>
      </w:r>
      <w:proofErr w:type="spellStart"/>
      <w:r w:rsidRPr="005A61B9">
        <w:rPr>
          <w:rFonts w:ascii="Arial" w:hAnsi="Arial" w:cs="Arial"/>
          <w:sz w:val="22"/>
          <w:szCs w:val="22"/>
        </w:rPr>
        <w:t>Budesonidum</w:t>
      </w:r>
      <w:proofErr w:type="spellEnd"/>
      <w:r w:rsidRPr="005A61B9">
        <w:rPr>
          <w:rFonts w:ascii="Arial" w:hAnsi="Arial" w:cs="Arial"/>
          <w:sz w:val="22"/>
          <w:szCs w:val="22"/>
        </w:rPr>
        <w:t>) i drodze podania, lecz w różnych dawkach pochodziły od tego samego producenta ze względu na możliwość łączenia dawek?</w:t>
      </w:r>
    </w:p>
    <w:p w:rsidR="006713B1" w:rsidRDefault="00E80825" w:rsidP="006713B1">
      <w:pPr>
        <w:tabs>
          <w:tab w:val="left" w:pos="567"/>
          <w:tab w:val="left" w:pos="851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</w:t>
      </w:r>
      <w:r w:rsidR="006713B1" w:rsidRPr="006713B1">
        <w:rPr>
          <w:rFonts w:ascii="Arial" w:eastAsia="Times New Roman" w:hAnsi="Arial" w:cs="Arial"/>
          <w:b/>
        </w:rPr>
        <w:t>Odp.</w:t>
      </w:r>
      <w:r w:rsidR="003E1A3C">
        <w:rPr>
          <w:rFonts w:ascii="Arial" w:eastAsia="Times New Roman" w:hAnsi="Arial" w:cs="Arial"/>
          <w:b/>
        </w:rPr>
        <w:t xml:space="preserve"> Dopuszcza, nie wymaga.</w:t>
      </w:r>
    </w:p>
    <w:p w:rsidR="006023F6" w:rsidRPr="003D48E0" w:rsidRDefault="003D48E0" w:rsidP="003D48E0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hanging="928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3D48E0">
        <w:rPr>
          <w:rFonts w:ascii="Arial" w:eastAsia="Times New Roman" w:hAnsi="Arial" w:cs="Arial"/>
          <w:b/>
          <w:sz w:val="22"/>
          <w:szCs w:val="22"/>
          <w:u w:val="single"/>
        </w:rPr>
        <w:t>Pytanie</w:t>
      </w:r>
    </w:p>
    <w:p w:rsidR="006023F6" w:rsidRPr="006023F6" w:rsidRDefault="006023F6" w:rsidP="006023F6">
      <w:pPr>
        <w:spacing w:after="0" w:line="270" w:lineRule="atLeast"/>
        <w:ind w:right="567"/>
        <w:rPr>
          <w:rFonts w:ascii="Arial" w:eastAsia="Times New Roman" w:hAnsi="Arial" w:cs="Arial"/>
        </w:rPr>
      </w:pPr>
      <w:r w:rsidRPr="006023F6">
        <w:rPr>
          <w:rFonts w:ascii="Arial" w:eastAsia="Times New Roman" w:hAnsi="Arial" w:cs="Arial"/>
          <w:sz w:val="24"/>
          <w:szCs w:val="24"/>
        </w:rPr>
        <w:t>Dot. Zadanie 40</w:t>
      </w:r>
    </w:p>
    <w:p w:rsidR="006023F6" w:rsidRDefault="006023F6" w:rsidP="005A61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0" w:lineRule="atLeast"/>
        <w:ind w:left="709" w:right="567"/>
        <w:jc w:val="both"/>
        <w:rPr>
          <w:rFonts w:ascii="Arial" w:eastAsia="Times New Roman" w:hAnsi="Arial" w:cs="Arial"/>
          <w:sz w:val="24"/>
          <w:szCs w:val="24"/>
        </w:rPr>
      </w:pPr>
      <w:r w:rsidRPr="006023F6">
        <w:rPr>
          <w:rFonts w:ascii="Arial" w:eastAsia="Times New Roman" w:hAnsi="Arial" w:cs="Arial"/>
          <w:sz w:val="24"/>
          <w:szCs w:val="24"/>
        </w:rPr>
        <w:t xml:space="preserve">  Czy zamawiający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oczekujac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 opakowania A’4 postać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MyKlik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 dopuści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wstrzykiwacz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 typu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SensoReady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 pakowany po 4 sztuki, w każdej 50 mg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etanerceptu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, tym samym dopuści lek 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Erelzi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023F6">
        <w:rPr>
          <w:rFonts w:ascii="Arial" w:eastAsia="Times New Roman" w:hAnsi="Arial" w:cs="Arial"/>
          <w:sz w:val="24"/>
          <w:szCs w:val="24"/>
        </w:rPr>
        <w:t>Etanerceptum</w:t>
      </w:r>
      <w:proofErr w:type="spellEnd"/>
      <w:r w:rsidRPr="006023F6">
        <w:rPr>
          <w:rFonts w:ascii="Arial" w:eastAsia="Times New Roman" w:hAnsi="Arial" w:cs="Arial"/>
          <w:sz w:val="24"/>
          <w:szCs w:val="24"/>
        </w:rPr>
        <w:t>), co pozwoli na przystąpienie do przetargu większej liczbie Wykonawców i zwiększy konkurencję?</w:t>
      </w:r>
    </w:p>
    <w:p w:rsidR="006023F6" w:rsidRPr="00366DE7" w:rsidRDefault="00366DE7" w:rsidP="00366D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0" w:lineRule="atLeast"/>
        <w:ind w:right="567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6023F6" w:rsidRPr="00366DE7">
        <w:rPr>
          <w:rFonts w:ascii="Arial" w:eastAsia="Times New Roman" w:hAnsi="Arial" w:cs="Arial"/>
          <w:b/>
        </w:rPr>
        <w:t>Odp.</w:t>
      </w:r>
      <w:r w:rsidRPr="00366DE7">
        <w:rPr>
          <w:rFonts w:ascii="Arial" w:eastAsia="Times New Roman" w:hAnsi="Arial" w:cs="Arial"/>
          <w:b/>
        </w:rPr>
        <w:t xml:space="preserve"> Zamawiający dopuszcza.</w:t>
      </w:r>
    </w:p>
    <w:p w:rsidR="006023F6" w:rsidRPr="003D48E0" w:rsidRDefault="003D48E0" w:rsidP="003D48E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0" w:lineRule="atLeast"/>
        <w:ind w:left="567" w:right="567" w:hanging="425"/>
        <w:rPr>
          <w:rFonts w:ascii="Arial" w:eastAsia="Times New Roman" w:hAnsi="Arial" w:cs="Arial"/>
          <w:b/>
          <w:sz w:val="24"/>
          <w:u w:val="single"/>
        </w:rPr>
      </w:pPr>
      <w:r w:rsidRPr="003D48E0">
        <w:rPr>
          <w:rFonts w:ascii="Arial" w:eastAsia="Times New Roman" w:hAnsi="Arial" w:cs="Arial"/>
          <w:b/>
          <w:sz w:val="24"/>
          <w:u w:val="single"/>
        </w:rPr>
        <w:t>Pytanie</w:t>
      </w:r>
    </w:p>
    <w:p w:rsidR="00FD42A5" w:rsidRPr="00FD42A5" w:rsidRDefault="003D48E0" w:rsidP="003D48E0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FD42A5" w:rsidRPr="003D48E0">
        <w:rPr>
          <w:rFonts w:ascii="Arial" w:eastAsia="Calibri" w:hAnsi="Arial" w:cs="Arial"/>
        </w:rPr>
        <w:t xml:space="preserve">Pakiet  13 poz. 51 </w:t>
      </w:r>
    </w:p>
    <w:p w:rsidR="00FD42A5" w:rsidRPr="003E1A3C" w:rsidRDefault="00FD42A5" w:rsidP="003D48E0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  <w:u w:val="single"/>
        </w:rPr>
      </w:pPr>
      <w:r w:rsidRPr="00FD42A5">
        <w:rPr>
          <w:rFonts w:ascii="Arial" w:eastAsia="Calibri" w:hAnsi="Arial" w:cs="Arial"/>
        </w:rPr>
        <w:t>Uprzejmie p</w:t>
      </w:r>
      <w:r w:rsidRPr="00FD42A5">
        <w:rPr>
          <w:rFonts w:ascii="Arial" w:eastAsia="Calibri" w:hAnsi="Arial" w:cs="Arial"/>
          <w:color w:val="000000"/>
        </w:rPr>
        <w:t xml:space="preserve">rosimy o dopuszczenie spełniającego te same cele preparatu </w:t>
      </w:r>
      <w:proofErr w:type="spellStart"/>
      <w:r w:rsidRPr="00FD42A5">
        <w:rPr>
          <w:rFonts w:ascii="Arial" w:eastAsia="Calibri" w:hAnsi="Arial" w:cs="Arial"/>
          <w:color w:val="000000"/>
        </w:rPr>
        <w:t>probiotycznego</w:t>
      </w:r>
      <w:proofErr w:type="spellEnd"/>
      <w:r w:rsidRPr="00FD42A5">
        <w:rPr>
          <w:rFonts w:ascii="Arial" w:eastAsia="Calibri" w:hAnsi="Arial" w:cs="Arial"/>
          <w:color w:val="000000"/>
        </w:rPr>
        <w:t xml:space="preserve"> o nazwie </w:t>
      </w:r>
      <w:proofErr w:type="spellStart"/>
      <w:r w:rsidRPr="00FD42A5">
        <w:rPr>
          <w:rFonts w:ascii="Arial" w:eastAsia="Calibri" w:hAnsi="Arial" w:cs="Arial"/>
          <w:color w:val="000000"/>
        </w:rPr>
        <w:t>ProbioDr</w:t>
      </w:r>
      <w:proofErr w:type="spellEnd"/>
      <w:r w:rsidRPr="00FD42A5">
        <w:rPr>
          <w:rFonts w:ascii="Arial" w:eastAsia="Calibri" w:hAnsi="Arial" w:cs="Arial"/>
          <w:color w:val="000000"/>
        </w:rPr>
        <w:t xml:space="preserve">. będącego preparatem złożonym i dietetycznym środkiem spożywczym specjalnego przeznaczenia medycznego, </w:t>
      </w:r>
      <w:r w:rsidRPr="00FD42A5">
        <w:rPr>
          <w:rFonts w:ascii="Arial" w:eastAsia="Calibri" w:hAnsi="Arial" w:cs="Arial"/>
        </w:rPr>
        <w:t xml:space="preserve">przeznaczonym do stosowania u niemowląt, dzieci i osób dorosłych, zawierającym w swoim składzie najlepiej przebadany pod względem klinicznym szczep bakterii </w:t>
      </w:r>
      <w:proofErr w:type="spellStart"/>
      <w:r w:rsidRPr="00FD42A5">
        <w:rPr>
          <w:rFonts w:ascii="Arial" w:eastAsia="Calibri" w:hAnsi="Arial" w:cs="Arial"/>
        </w:rPr>
        <w:t>probiotycznych</w:t>
      </w:r>
      <w:proofErr w:type="spellEnd"/>
      <w:r w:rsidRPr="00FD42A5">
        <w:rPr>
          <w:rFonts w:ascii="Arial" w:eastAsia="Calibri" w:hAnsi="Arial" w:cs="Arial"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Lactobacillus</w:t>
      </w:r>
      <w:proofErr w:type="spellEnd"/>
      <w:r w:rsidRPr="00FD42A5">
        <w:rPr>
          <w:rFonts w:ascii="Arial" w:eastAsia="Calibri" w:hAnsi="Arial" w:cs="Arial"/>
          <w:i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rhamnosus</w:t>
      </w:r>
      <w:proofErr w:type="spellEnd"/>
      <w:r w:rsidRPr="00FD42A5">
        <w:rPr>
          <w:rFonts w:ascii="Arial" w:eastAsia="Calibri" w:hAnsi="Arial" w:cs="Arial"/>
        </w:rPr>
        <w:t xml:space="preserve"> i </w:t>
      </w:r>
      <w:proofErr w:type="spellStart"/>
      <w:r w:rsidRPr="00FD42A5">
        <w:rPr>
          <w:rFonts w:ascii="Arial" w:eastAsia="Calibri" w:hAnsi="Arial" w:cs="Arial"/>
          <w:i/>
        </w:rPr>
        <w:t>Lactobacillus</w:t>
      </w:r>
      <w:proofErr w:type="spellEnd"/>
      <w:r w:rsidRPr="00FD42A5">
        <w:rPr>
          <w:rFonts w:ascii="Arial" w:eastAsia="Calibri" w:hAnsi="Arial" w:cs="Arial"/>
          <w:i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helveticus</w:t>
      </w:r>
      <w:proofErr w:type="spellEnd"/>
      <w:r w:rsidRPr="00FD42A5">
        <w:rPr>
          <w:rFonts w:ascii="Arial" w:eastAsia="Calibri" w:hAnsi="Arial" w:cs="Arial"/>
        </w:rPr>
        <w:t xml:space="preserve"> w łącznym stężeniu 2 mld CFU/kapsułkę w takim stosunku ilościowym jak w preparacie opisanym w SIWZ, występującym w takiej samej postaci.</w:t>
      </w:r>
    </w:p>
    <w:p w:rsidR="003E1A3C" w:rsidRPr="003E1A3C" w:rsidRDefault="003E1A3C" w:rsidP="003E1A3C">
      <w:pPr>
        <w:tabs>
          <w:tab w:val="left" w:pos="567"/>
          <w:tab w:val="left" w:pos="851"/>
        </w:tabs>
        <w:ind w:left="360"/>
        <w:rPr>
          <w:rFonts w:ascii="Arial" w:hAnsi="Arial" w:cs="Arial"/>
          <w:b/>
        </w:rPr>
      </w:pPr>
      <w:r w:rsidRPr="003E1A3C">
        <w:rPr>
          <w:rFonts w:ascii="Arial" w:hAnsi="Arial" w:cs="Arial"/>
          <w:b/>
        </w:rPr>
        <w:t xml:space="preserve">     Odp. </w:t>
      </w:r>
      <w:r w:rsidRPr="003E1A3C">
        <w:rPr>
          <w:rFonts w:ascii="Arial" w:eastAsia="Times New Roman" w:hAnsi="Arial" w:cs="Arial"/>
          <w:b/>
        </w:rPr>
        <w:t>Zamawiający nie dopuszcza.</w:t>
      </w:r>
    </w:p>
    <w:p w:rsidR="003E1A3C" w:rsidRPr="00FD42A5" w:rsidRDefault="003E1A3C" w:rsidP="003E1A3C">
      <w:pPr>
        <w:spacing w:after="0"/>
        <w:ind w:left="360"/>
        <w:jc w:val="both"/>
        <w:rPr>
          <w:rFonts w:ascii="Arial" w:eastAsia="Calibri" w:hAnsi="Arial" w:cs="Arial"/>
          <w:u w:val="single"/>
        </w:rPr>
      </w:pPr>
    </w:p>
    <w:p w:rsidR="00FD42A5" w:rsidRPr="003E1A3C" w:rsidRDefault="00FD42A5" w:rsidP="00B554F7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  <w:u w:val="single"/>
        </w:rPr>
      </w:pPr>
      <w:r w:rsidRPr="00FD42A5">
        <w:rPr>
          <w:rFonts w:ascii="Arial" w:eastAsia="Calibri" w:hAnsi="Arial" w:cs="Arial"/>
        </w:rPr>
        <w:t xml:space="preserve">Zwracamy się z uprzejmą prośbą o dopuszczenie zaoferowania spełniającego te same cele zamiennika o nazwie </w:t>
      </w:r>
      <w:proofErr w:type="spellStart"/>
      <w:r w:rsidRPr="00FD42A5">
        <w:rPr>
          <w:rFonts w:ascii="Arial" w:eastAsia="Calibri" w:hAnsi="Arial" w:cs="Arial"/>
        </w:rPr>
        <w:t>LactoDr</w:t>
      </w:r>
      <w:proofErr w:type="spellEnd"/>
      <w:r w:rsidRPr="00FD42A5">
        <w:rPr>
          <w:rFonts w:ascii="Arial" w:eastAsia="Calibri" w:hAnsi="Arial" w:cs="Arial"/>
        </w:rPr>
        <w:t xml:space="preserve">., będącego </w:t>
      </w:r>
      <w:r w:rsidRPr="00FD42A5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FD42A5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FD42A5">
        <w:rPr>
          <w:rFonts w:ascii="Arial" w:eastAsia="Calibri" w:hAnsi="Arial" w:cs="Arial"/>
        </w:rPr>
        <w:t>probiotycznych</w:t>
      </w:r>
      <w:proofErr w:type="spellEnd"/>
      <w:r w:rsidRPr="00FD42A5">
        <w:rPr>
          <w:rFonts w:ascii="Arial" w:eastAsia="Calibri" w:hAnsi="Arial" w:cs="Arial"/>
        </w:rPr>
        <w:t xml:space="preserve"> (działanie potwierdzone w kilkuset opublikowanych w literaturze światowej badaniach klinicznych) </w:t>
      </w:r>
      <w:proofErr w:type="spellStart"/>
      <w:r w:rsidRPr="00FD42A5">
        <w:rPr>
          <w:rFonts w:ascii="Arial" w:eastAsia="Calibri" w:hAnsi="Arial" w:cs="Arial"/>
          <w:i/>
        </w:rPr>
        <w:t>Lactobacillus</w:t>
      </w:r>
      <w:proofErr w:type="spellEnd"/>
      <w:r w:rsidRPr="00FD42A5">
        <w:rPr>
          <w:rFonts w:ascii="Arial" w:eastAsia="Calibri" w:hAnsi="Arial" w:cs="Arial"/>
          <w:i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rhamnosus</w:t>
      </w:r>
      <w:proofErr w:type="spellEnd"/>
      <w:r w:rsidRPr="00FD42A5">
        <w:rPr>
          <w:rFonts w:ascii="Arial" w:eastAsia="Calibri" w:hAnsi="Arial" w:cs="Arial"/>
          <w:i/>
        </w:rPr>
        <w:t xml:space="preserve"> GG ATCC 53103</w:t>
      </w:r>
      <w:r w:rsidRPr="00FD42A5">
        <w:rPr>
          <w:rFonts w:ascii="Arial" w:eastAsia="Calibri" w:hAnsi="Arial" w:cs="Arial"/>
        </w:rPr>
        <w:t xml:space="preserve"> w wysoce aktywnym stężeniu 6 mld CFU/kapsułkę, przeznaczonego do stosowania u noworodków, niemowląt, dzieci i osób dorosłych, w opakowaniach x 20 lub x 30 kaps – po przeliczeniu kapsułek na odpowiednią liczbę opakowań i zaokrągleniu uzyskanego wyniku w górę.</w:t>
      </w:r>
    </w:p>
    <w:p w:rsidR="003E1A3C" w:rsidRPr="003E1A3C" w:rsidRDefault="003E1A3C" w:rsidP="00B554F7">
      <w:pPr>
        <w:tabs>
          <w:tab w:val="left" w:pos="567"/>
          <w:tab w:val="left" w:pos="851"/>
        </w:tabs>
        <w:spacing w:after="0"/>
        <w:ind w:left="360"/>
        <w:rPr>
          <w:rFonts w:ascii="Arial" w:hAnsi="Arial" w:cs="Arial"/>
          <w:b/>
        </w:rPr>
      </w:pPr>
      <w:r w:rsidRPr="003E1A3C">
        <w:rPr>
          <w:rFonts w:ascii="Arial" w:hAnsi="Arial" w:cs="Arial"/>
          <w:b/>
        </w:rPr>
        <w:t xml:space="preserve">     Odp. </w:t>
      </w:r>
      <w:r w:rsidRPr="003E1A3C">
        <w:rPr>
          <w:rFonts w:ascii="Arial" w:eastAsia="Times New Roman" w:hAnsi="Arial" w:cs="Arial"/>
          <w:b/>
        </w:rPr>
        <w:t>Zamawiający nie dopuszcza.</w:t>
      </w:r>
    </w:p>
    <w:p w:rsidR="00FD42A5" w:rsidRPr="003E1A3C" w:rsidRDefault="00FD42A5" w:rsidP="00B554F7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  <w:u w:val="single"/>
        </w:rPr>
      </w:pPr>
      <w:r w:rsidRPr="00FD42A5">
        <w:rPr>
          <w:rFonts w:ascii="Arial" w:eastAsia="Calibri" w:hAnsi="Arial" w:cs="Arial"/>
        </w:rPr>
        <w:t xml:space="preserve">Zwracamy się z uprzejmą prośbą o dopuszczenie zaoferowania spełniającego te same cele zamiennika o nazwie Lacto30Dr., będącego </w:t>
      </w:r>
      <w:r w:rsidRPr="00FD42A5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FD42A5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FD42A5">
        <w:rPr>
          <w:rFonts w:ascii="Arial" w:eastAsia="Calibri" w:hAnsi="Arial" w:cs="Arial"/>
        </w:rPr>
        <w:t>probiotycznych</w:t>
      </w:r>
      <w:proofErr w:type="spellEnd"/>
      <w:r w:rsidRPr="00FD42A5">
        <w:rPr>
          <w:rFonts w:ascii="Arial" w:eastAsia="Calibri" w:hAnsi="Arial" w:cs="Arial"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Lactobacillus</w:t>
      </w:r>
      <w:proofErr w:type="spellEnd"/>
      <w:r w:rsidRPr="00FD42A5">
        <w:rPr>
          <w:rFonts w:ascii="Arial" w:eastAsia="Calibri" w:hAnsi="Arial" w:cs="Arial"/>
          <w:i/>
        </w:rPr>
        <w:t xml:space="preserve"> </w:t>
      </w:r>
      <w:proofErr w:type="spellStart"/>
      <w:r w:rsidRPr="00FD42A5">
        <w:rPr>
          <w:rFonts w:ascii="Arial" w:eastAsia="Calibri" w:hAnsi="Arial" w:cs="Arial"/>
          <w:i/>
        </w:rPr>
        <w:t>rhamnosus</w:t>
      </w:r>
      <w:proofErr w:type="spellEnd"/>
      <w:r w:rsidRPr="00FD42A5">
        <w:rPr>
          <w:rFonts w:ascii="Arial" w:eastAsia="Calibri" w:hAnsi="Arial" w:cs="Arial"/>
          <w:i/>
        </w:rPr>
        <w:t xml:space="preserve"> GG ATCC 53103</w:t>
      </w:r>
      <w:r w:rsidRPr="00FD42A5">
        <w:rPr>
          <w:rFonts w:ascii="Arial" w:eastAsia="Calibri" w:hAnsi="Arial" w:cs="Arial"/>
        </w:rPr>
        <w:t xml:space="preserve"> w aktywnym stężeniu 3 mld CFU/kapsułkę, przeznaczonego do stosowania u noworodków, niemowląt, dzieci i osób dorosłych, w opakowaniach x 30 kaps – po przeliczeniu kapsułek na odpowiednią liczbę opakowań i zaokrągleniu uzyskanego wyniku w górę.</w:t>
      </w:r>
    </w:p>
    <w:p w:rsidR="003E1A3C" w:rsidRPr="003E1A3C" w:rsidRDefault="003E1A3C" w:rsidP="00B554F7">
      <w:pPr>
        <w:tabs>
          <w:tab w:val="left" w:pos="567"/>
          <w:tab w:val="left" w:pos="851"/>
        </w:tabs>
        <w:spacing w:after="0"/>
        <w:ind w:left="360"/>
        <w:rPr>
          <w:rFonts w:ascii="Arial" w:hAnsi="Arial" w:cs="Arial"/>
          <w:b/>
        </w:rPr>
      </w:pPr>
      <w:r w:rsidRPr="003E1A3C">
        <w:rPr>
          <w:rFonts w:ascii="Arial" w:hAnsi="Arial" w:cs="Arial"/>
          <w:b/>
        </w:rPr>
        <w:t xml:space="preserve">    Odp. </w:t>
      </w:r>
      <w:r w:rsidRPr="003E1A3C">
        <w:rPr>
          <w:rFonts w:ascii="Arial" w:eastAsia="Times New Roman" w:hAnsi="Arial" w:cs="Arial"/>
          <w:b/>
        </w:rPr>
        <w:t>Zamawiający nie dopuszcza.</w:t>
      </w:r>
    </w:p>
    <w:p w:rsidR="00FD42A5" w:rsidRPr="003D48E0" w:rsidRDefault="003D48E0" w:rsidP="00E80825">
      <w:pPr>
        <w:pStyle w:val="Akapitzlist"/>
        <w:numPr>
          <w:ilvl w:val="0"/>
          <w:numId w:val="1"/>
        </w:numPr>
        <w:tabs>
          <w:tab w:val="left" w:pos="1560"/>
        </w:tabs>
        <w:ind w:left="709" w:hanging="567"/>
        <w:rPr>
          <w:rFonts w:ascii="Arial" w:hAnsi="Arial" w:cs="Arial"/>
          <w:b/>
          <w:sz w:val="22"/>
          <w:szCs w:val="22"/>
          <w:u w:val="single"/>
        </w:rPr>
      </w:pPr>
      <w:r w:rsidRPr="003D48E0">
        <w:rPr>
          <w:rFonts w:ascii="Arial" w:hAnsi="Arial" w:cs="Arial"/>
          <w:b/>
          <w:sz w:val="22"/>
          <w:szCs w:val="22"/>
          <w:u w:val="single"/>
        </w:rPr>
        <w:t>Pytanie</w:t>
      </w:r>
    </w:p>
    <w:p w:rsidR="00FD42A5" w:rsidRPr="004D3EF6" w:rsidRDefault="003D48E0" w:rsidP="003D48E0">
      <w:pPr>
        <w:spacing w:after="0"/>
        <w:jc w:val="both"/>
        <w:rPr>
          <w:rFonts w:ascii="Arial" w:eastAsia="Calibri" w:hAnsi="Arial" w:cs="Arial"/>
          <w:u w:val="single"/>
        </w:rPr>
      </w:pPr>
      <w:r w:rsidRPr="004D3EF6">
        <w:rPr>
          <w:rFonts w:ascii="Arial" w:eastAsia="Calibri" w:hAnsi="Arial" w:cs="Arial"/>
          <w:u w:val="single"/>
        </w:rPr>
        <w:t xml:space="preserve">     </w:t>
      </w:r>
      <w:r w:rsidR="00FD42A5" w:rsidRPr="004D3EF6">
        <w:rPr>
          <w:rFonts w:ascii="Arial" w:eastAsia="Calibri" w:hAnsi="Arial" w:cs="Arial"/>
          <w:u w:val="single"/>
        </w:rPr>
        <w:t xml:space="preserve">Pakiet  8 poz. 9 </w:t>
      </w:r>
    </w:p>
    <w:p w:rsidR="00FD42A5" w:rsidRPr="003E1A3C" w:rsidRDefault="00B554F7" w:rsidP="00B554F7">
      <w:pPr>
        <w:pStyle w:val="Akapitzlist"/>
        <w:rPr>
          <w:rFonts w:ascii="Arial" w:hAnsi="Arial" w:cs="Arial"/>
          <w:u w:val="single"/>
        </w:rPr>
      </w:pPr>
      <w:r>
        <w:rPr>
          <w:rFonts w:ascii="Arial" w:hAnsi="Arial" w:cs="Arial"/>
          <w:sz w:val="22"/>
          <w:szCs w:val="22"/>
        </w:rPr>
        <w:t>1.</w:t>
      </w:r>
      <w:r w:rsidR="00FD42A5" w:rsidRPr="00FD42A5">
        <w:rPr>
          <w:rFonts w:ascii="Arial" w:hAnsi="Arial" w:cs="Arial"/>
          <w:sz w:val="22"/>
          <w:szCs w:val="22"/>
        </w:rPr>
        <w:t xml:space="preserve">Zwracamy się z uprzejmą prośbą o dopuszczenie zaoferowania spełniającego te same cele zamiennika o nazwie </w:t>
      </w:r>
      <w:proofErr w:type="spellStart"/>
      <w:r w:rsidR="00FD42A5" w:rsidRPr="00FD42A5">
        <w:rPr>
          <w:rFonts w:ascii="Arial" w:hAnsi="Arial" w:cs="Arial"/>
          <w:sz w:val="22"/>
          <w:szCs w:val="22"/>
        </w:rPr>
        <w:t>LactoDr</w:t>
      </w:r>
      <w:proofErr w:type="spellEnd"/>
      <w:r w:rsidR="00FD42A5" w:rsidRPr="00FD42A5">
        <w:rPr>
          <w:rFonts w:ascii="Arial" w:hAnsi="Arial" w:cs="Arial"/>
          <w:sz w:val="22"/>
          <w:szCs w:val="22"/>
        </w:rPr>
        <w:t xml:space="preserve">., będącego </w:t>
      </w:r>
      <w:r w:rsidR="00FD42A5" w:rsidRPr="00FD42A5">
        <w:rPr>
          <w:rFonts w:ascii="Arial" w:hAnsi="Arial" w:cs="Arial"/>
          <w:color w:val="000000"/>
          <w:sz w:val="22"/>
          <w:szCs w:val="22"/>
        </w:rPr>
        <w:t>dietetycznym środkiem spożywczym specjalnego przeznaczenia medycznego</w:t>
      </w:r>
      <w:r w:rsidR="00FD42A5" w:rsidRPr="00FD42A5">
        <w:rPr>
          <w:rFonts w:ascii="Arial" w:hAnsi="Arial" w:cs="Arial"/>
          <w:sz w:val="22"/>
          <w:szCs w:val="22"/>
        </w:rPr>
        <w:t xml:space="preserve"> zawierającego najlepiej przebadany pod względem klinicznym szczep bakterii </w:t>
      </w:r>
      <w:proofErr w:type="spellStart"/>
      <w:r w:rsidR="00FD42A5" w:rsidRPr="00FD42A5">
        <w:rPr>
          <w:rFonts w:ascii="Arial" w:hAnsi="Arial" w:cs="Arial"/>
          <w:sz w:val="22"/>
          <w:szCs w:val="22"/>
        </w:rPr>
        <w:t>probiotycznych</w:t>
      </w:r>
      <w:proofErr w:type="spellEnd"/>
      <w:r w:rsidR="00FD42A5" w:rsidRPr="00FD42A5">
        <w:rPr>
          <w:rFonts w:ascii="Arial" w:hAnsi="Arial" w:cs="Arial"/>
          <w:sz w:val="22"/>
          <w:szCs w:val="22"/>
        </w:rPr>
        <w:t xml:space="preserve"> (działanie potwierdzone w kilkuset opublikowanych w literaturze światowej badaniach klinicznych) </w:t>
      </w:r>
      <w:proofErr w:type="spellStart"/>
      <w:r w:rsidR="00FD42A5" w:rsidRPr="00FD42A5">
        <w:rPr>
          <w:rFonts w:ascii="Arial" w:hAnsi="Arial" w:cs="Arial"/>
          <w:i/>
          <w:sz w:val="22"/>
          <w:szCs w:val="22"/>
        </w:rPr>
        <w:t>Lactobacillus</w:t>
      </w:r>
      <w:proofErr w:type="spellEnd"/>
      <w:r w:rsidR="00FD42A5" w:rsidRPr="00FD42A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D42A5" w:rsidRPr="00FD42A5">
        <w:rPr>
          <w:rFonts w:ascii="Arial" w:hAnsi="Arial" w:cs="Arial"/>
          <w:i/>
          <w:sz w:val="22"/>
          <w:szCs w:val="22"/>
        </w:rPr>
        <w:t>rhamnosus</w:t>
      </w:r>
      <w:proofErr w:type="spellEnd"/>
      <w:r w:rsidR="00FD42A5" w:rsidRPr="00FD42A5">
        <w:rPr>
          <w:rFonts w:ascii="Arial" w:hAnsi="Arial" w:cs="Arial"/>
          <w:i/>
          <w:sz w:val="22"/>
          <w:szCs w:val="22"/>
        </w:rPr>
        <w:t xml:space="preserve"> GG ATCC 53103</w:t>
      </w:r>
      <w:r w:rsidR="00FD42A5" w:rsidRPr="00FD42A5">
        <w:rPr>
          <w:rFonts w:ascii="Arial" w:hAnsi="Arial" w:cs="Arial"/>
          <w:sz w:val="22"/>
          <w:szCs w:val="22"/>
        </w:rPr>
        <w:t xml:space="preserve"> w wysoce aktywnym stężeniu 6 mld CFU/kapsułkę, przeznaczonego do stosowania u noworodków, niemowląt, dzieci i osób dorosłych, w opakowaniach x 20 lub x 30 kaps – po przeliczeniu kapsułek na odpowiednią liczbę opakowań i zaokrągleniu uzyskanego wyniku w górę. Oferowane kapsułki mogą być łatwo otwierane, a ich zawartość rozpuszczana w niewielkiej objętości płynu w celu sporządzania zawiesiny</w:t>
      </w:r>
      <w:r w:rsidR="00FD42A5" w:rsidRPr="00FD42A5">
        <w:rPr>
          <w:rFonts w:ascii="Arial" w:hAnsi="Arial" w:cs="Arial"/>
        </w:rPr>
        <w:t>.</w:t>
      </w:r>
    </w:p>
    <w:p w:rsidR="003E1A3C" w:rsidRPr="00B554F7" w:rsidRDefault="003E1A3C" w:rsidP="00B554F7">
      <w:pPr>
        <w:tabs>
          <w:tab w:val="left" w:pos="567"/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B554F7">
        <w:rPr>
          <w:rFonts w:ascii="Arial" w:hAnsi="Arial" w:cs="Arial"/>
          <w:b/>
        </w:rPr>
        <w:t xml:space="preserve">Odp. </w:t>
      </w:r>
      <w:r w:rsidRPr="00B554F7">
        <w:rPr>
          <w:rFonts w:ascii="Arial" w:eastAsia="Times New Roman" w:hAnsi="Arial" w:cs="Arial"/>
          <w:b/>
        </w:rPr>
        <w:t>Zamawiający nie dopuszcza.</w:t>
      </w:r>
    </w:p>
    <w:p w:rsidR="00FD42A5" w:rsidRPr="00FD42A5" w:rsidRDefault="00B554F7" w:rsidP="00B554F7">
      <w:pPr>
        <w:pStyle w:val="Akapitzlis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</w:t>
      </w:r>
      <w:r w:rsidR="00FD42A5" w:rsidRPr="00FD42A5">
        <w:rPr>
          <w:rFonts w:ascii="Arial" w:hAnsi="Arial" w:cs="Arial"/>
          <w:sz w:val="22"/>
          <w:szCs w:val="22"/>
        </w:rPr>
        <w:t xml:space="preserve">Zwracamy się z uprzejmą prośbą o dopuszczenie zaoferowania spełniającego te same cele zamiennika o nazwie Lacto30Dr., będącego </w:t>
      </w:r>
      <w:r w:rsidR="00FD42A5" w:rsidRPr="00FD42A5">
        <w:rPr>
          <w:rFonts w:ascii="Arial" w:hAnsi="Arial" w:cs="Arial"/>
          <w:color w:val="000000"/>
          <w:sz w:val="22"/>
          <w:szCs w:val="22"/>
        </w:rPr>
        <w:t>dietetycznym środkiem spożywczym specjalnego przeznaczenia medycznego</w:t>
      </w:r>
      <w:r w:rsidR="00FD42A5" w:rsidRPr="00FD42A5">
        <w:rPr>
          <w:rFonts w:ascii="Arial" w:hAnsi="Arial" w:cs="Arial"/>
          <w:sz w:val="22"/>
          <w:szCs w:val="22"/>
        </w:rPr>
        <w:t xml:space="preserve"> zawierającego najlepiej przebadany pod względem klinicznym szczep bakterii </w:t>
      </w:r>
      <w:proofErr w:type="spellStart"/>
      <w:r w:rsidR="00FD42A5" w:rsidRPr="00FD42A5">
        <w:rPr>
          <w:rFonts w:ascii="Arial" w:hAnsi="Arial" w:cs="Arial"/>
          <w:sz w:val="22"/>
          <w:szCs w:val="22"/>
        </w:rPr>
        <w:t>probiotycznych</w:t>
      </w:r>
      <w:proofErr w:type="spellEnd"/>
      <w:r w:rsidR="00FD42A5" w:rsidRPr="00FD42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2A5" w:rsidRPr="00FD42A5">
        <w:rPr>
          <w:rFonts w:ascii="Arial" w:hAnsi="Arial" w:cs="Arial"/>
          <w:i/>
          <w:sz w:val="22"/>
          <w:szCs w:val="22"/>
        </w:rPr>
        <w:t>Lactobacillus</w:t>
      </w:r>
      <w:proofErr w:type="spellEnd"/>
      <w:r w:rsidR="00FD42A5" w:rsidRPr="00FD42A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D42A5" w:rsidRPr="00FD42A5">
        <w:rPr>
          <w:rFonts w:ascii="Arial" w:hAnsi="Arial" w:cs="Arial"/>
          <w:i/>
          <w:sz w:val="22"/>
          <w:szCs w:val="22"/>
        </w:rPr>
        <w:t>rhamnosus</w:t>
      </w:r>
      <w:proofErr w:type="spellEnd"/>
      <w:r w:rsidR="00FD42A5" w:rsidRPr="00FD42A5">
        <w:rPr>
          <w:rFonts w:ascii="Arial" w:hAnsi="Arial" w:cs="Arial"/>
          <w:i/>
          <w:sz w:val="22"/>
          <w:szCs w:val="22"/>
        </w:rPr>
        <w:t xml:space="preserve"> GG ATCC 53103</w:t>
      </w:r>
      <w:r w:rsidR="00FD42A5" w:rsidRPr="00FD42A5">
        <w:rPr>
          <w:rFonts w:ascii="Arial" w:hAnsi="Arial" w:cs="Arial"/>
          <w:sz w:val="22"/>
          <w:szCs w:val="22"/>
        </w:rPr>
        <w:t xml:space="preserve"> w aktywnym stężeniu 3 mld CFU/kapsułkę, przeznaczonego do stosowania u noworodków, niemowląt, dzieci i osób dorosłych, w opakowaniach x 30 kaps – po przeliczeniu kapsułek na odpowiednią liczbę opakowań i zaokrągleniu uzyskanego wyniku w górę. Oferowane kapsułki mogą być łatwo otwierane, a ich zawartość rozpuszczana w niewielkiej objętości płynu w celu sporządzania zawiesiny.</w:t>
      </w:r>
    </w:p>
    <w:p w:rsidR="00FD42A5" w:rsidRPr="00B554F7" w:rsidRDefault="003E1A3C" w:rsidP="00B554F7">
      <w:pPr>
        <w:tabs>
          <w:tab w:val="left" w:pos="567"/>
          <w:tab w:val="left" w:pos="851"/>
        </w:tabs>
        <w:rPr>
          <w:rFonts w:ascii="Arial" w:hAnsi="Arial" w:cs="Arial"/>
          <w:b/>
        </w:rPr>
      </w:pPr>
      <w:r w:rsidRPr="003E1A3C">
        <w:rPr>
          <w:rFonts w:ascii="Arial" w:hAnsi="Arial" w:cs="Arial"/>
          <w:b/>
        </w:rPr>
        <w:t xml:space="preserve"> Odp. </w:t>
      </w:r>
      <w:r w:rsidRPr="003E1A3C">
        <w:rPr>
          <w:rFonts w:ascii="Arial" w:eastAsia="Times New Roman" w:hAnsi="Arial" w:cs="Arial"/>
          <w:b/>
        </w:rPr>
        <w:t>Zamawiający nie dopuszcza.</w:t>
      </w:r>
    </w:p>
    <w:p w:rsidR="006023F6" w:rsidRPr="007636EA" w:rsidRDefault="007636EA" w:rsidP="007636EA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left="426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7636EA">
        <w:rPr>
          <w:rFonts w:ascii="Arial" w:eastAsia="Times New Roman" w:hAnsi="Arial" w:cs="Arial"/>
          <w:b/>
          <w:sz w:val="22"/>
          <w:szCs w:val="22"/>
          <w:u w:val="single"/>
        </w:rPr>
        <w:t>Pytanie</w:t>
      </w:r>
    </w:p>
    <w:p w:rsidR="007636EA" w:rsidRPr="007636EA" w:rsidRDefault="007636EA" w:rsidP="0076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Arial" w:eastAsia="Times New Roman" w:hAnsi="Arial" w:cs="Arial"/>
          <w:lang w:eastAsia="pl-PL"/>
        </w:rPr>
      </w:pPr>
      <w:r w:rsidRPr="007636EA">
        <w:rPr>
          <w:rFonts w:ascii="Arial" w:eastAsia="Times New Roman" w:hAnsi="Arial" w:cs="Arial"/>
          <w:lang w:eastAsia="pl-PL"/>
        </w:rPr>
        <w:t xml:space="preserve">Czy zamawiający dopuści w pakiecie 13  poz. 51  wycenę </w:t>
      </w:r>
      <w:proofErr w:type="spellStart"/>
      <w:r w:rsidRPr="007636EA">
        <w:rPr>
          <w:rFonts w:ascii="Arial" w:eastAsia="Times New Roman" w:hAnsi="Arial" w:cs="Arial"/>
          <w:lang w:eastAsia="pl-PL"/>
        </w:rPr>
        <w:t>Trilacu</w:t>
      </w:r>
      <w:proofErr w:type="spellEnd"/>
      <w:r w:rsidRPr="007636EA">
        <w:rPr>
          <w:rFonts w:ascii="Arial" w:eastAsia="Times New Roman" w:hAnsi="Arial" w:cs="Arial"/>
          <w:lang w:eastAsia="pl-PL"/>
        </w:rPr>
        <w:t xml:space="preserve"> produktu</w:t>
      </w:r>
    </w:p>
    <w:p w:rsidR="007636EA" w:rsidRPr="007636EA" w:rsidRDefault="007636EA" w:rsidP="0076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Arial" w:eastAsia="Times New Roman" w:hAnsi="Arial" w:cs="Arial"/>
          <w:lang w:eastAsia="pl-PL"/>
        </w:rPr>
      </w:pPr>
      <w:r w:rsidRPr="007636EA">
        <w:rPr>
          <w:rFonts w:ascii="Arial" w:eastAsia="Times New Roman" w:hAnsi="Arial" w:cs="Arial"/>
          <w:lang w:eastAsia="pl-PL"/>
        </w:rPr>
        <w:t>leczniczego OTC spełniającego te same cele, w skład którego wchodzą</w:t>
      </w:r>
    </w:p>
    <w:p w:rsidR="007636EA" w:rsidRPr="007636EA" w:rsidRDefault="007636EA" w:rsidP="0076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Arial" w:eastAsia="Times New Roman" w:hAnsi="Arial" w:cs="Arial"/>
          <w:lang w:eastAsia="pl-PL"/>
        </w:rPr>
      </w:pPr>
      <w:r w:rsidRPr="007636EA">
        <w:rPr>
          <w:rFonts w:ascii="Arial" w:eastAsia="Times New Roman" w:hAnsi="Arial" w:cs="Arial"/>
          <w:lang w:eastAsia="pl-PL"/>
        </w:rPr>
        <w:t xml:space="preserve">wyselekcjonowane szczepy żywych kultur bakterii </w:t>
      </w:r>
      <w:proofErr w:type="spellStart"/>
      <w:r w:rsidRPr="007636EA">
        <w:rPr>
          <w:rFonts w:ascii="Arial" w:eastAsia="Times New Roman" w:hAnsi="Arial" w:cs="Arial"/>
          <w:lang w:eastAsia="pl-PL"/>
        </w:rPr>
        <w:t>probiotycznych</w:t>
      </w:r>
      <w:proofErr w:type="spellEnd"/>
      <w:r w:rsidRPr="007636EA">
        <w:rPr>
          <w:rFonts w:ascii="Arial" w:eastAsia="Times New Roman" w:hAnsi="Arial" w:cs="Arial"/>
          <w:lang w:eastAsia="pl-PL"/>
        </w:rPr>
        <w:t xml:space="preserve"> z rodzaju</w:t>
      </w:r>
    </w:p>
    <w:p w:rsidR="007636EA" w:rsidRPr="007636EA" w:rsidRDefault="007636EA" w:rsidP="0076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Arial" w:eastAsia="Times New Roman" w:hAnsi="Arial" w:cs="Arial"/>
          <w:lang w:val="en-US" w:eastAsia="pl-PL"/>
        </w:rPr>
      </w:pPr>
      <w:r w:rsidRPr="007636EA">
        <w:rPr>
          <w:rFonts w:ascii="Arial" w:eastAsia="Times New Roman" w:hAnsi="Arial" w:cs="Arial"/>
          <w:lang w:val="en-US" w:eastAsia="pl-PL"/>
        </w:rPr>
        <w:t xml:space="preserve">Lactobacillus acidophilus (La-5), Lactobacillus </w:t>
      </w:r>
      <w:proofErr w:type="spellStart"/>
      <w:r w:rsidRPr="007636EA">
        <w:rPr>
          <w:rFonts w:ascii="Arial" w:eastAsia="Times New Roman" w:hAnsi="Arial" w:cs="Arial"/>
          <w:lang w:val="en-US" w:eastAsia="pl-PL"/>
        </w:rPr>
        <w:t>delbrueckii</w:t>
      </w:r>
      <w:proofErr w:type="spellEnd"/>
      <w:r w:rsidRPr="007636EA">
        <w:rPr>
          <w:rFonts w:ascii="Arial" w:eastAsia="Times New Roman" w:hAnsi="Arial" w:cs="Arial"/>
          <w:lang w:val="en-US" w:eastAsia="pl-PL"/>
        </w:rPr>
        <w:t xml:space="preserve"> subsp.</w:t>
      </w:r>
    </w:p>
    <w:p w:rsidR="007636EA" w:rsidRPr="007636EA" w:rsidRDefault="007636EA" w:rsidP="00B55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proofErr w:type="spellStart"/>
      <w:r w:rsidRPr="007636EA">
        <w:rPr>
          <w:rFonts w:ascii="Arial" w:eastAsia="Times New Roman" w:hAnsi="Arial" w:cs="Arial"/>
          <w:lang w:eastAsia="pl-PL"/>
        </w:rPr>
        <w:lastRenderedPageBreak/>
        <w:t>bulgaricus</w:t>
      </w:r>
      <w:proofErr w:type="spellEnd"/>
      <w:r w:rsidRPr="007636EA">
        <w:rPr>
          <w:rFonts w:ascii="Arial" w:eastAsia="Times New Roman" w:hAnsi="Arial" w:cs="Arial"/>
          <w:lang w:eastAsia="pl-PL"/>
        </w:rPr>
        <w:t xml:space="preserve"> (Lb-Y27), </w:t>
      </w:r>
      <w:proofErr w:type="spellStart"/>
      <w:r w:rsidRPr="007636EA">
        <w:rPr>
          <w:rFonts w:ascii="Arial" w:eastAsia="Times New Roman" w:hAnsi="Arial" w:cs="Arial"/>
          <w:lang w:eastAsia="pl-PL"/>
        </w:rPr>
        <w:t>Bifidobacterium</w:t>
      </w:r>
      <w:proofErr w:type="spellEnd"/>
      <w:r w:rsidRPr="007636E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636EA">
        <w:rPr>
          <w:rFonts w:ascii="Arial" w:eastAsia="Times New Roman" w:hAnsi="Arial" w:cs="Arial"/>
          <w:lang w:eastAsia="pl-PL"/>
        </w:rPr>
        <w:t>lactis</w:t>
      </w:r>
      <w:proofErr w:type="spellEnd"/>
      <w:r w:rsidRPr="007636EA">
        <w:rPr>
          <w:rFonts w:ascii="Arial" w:eastAsia="Times New Roman" w:hAnsi="Arial" w:cs="Arial"/>
          <w:lang w:eastAsia="pl-PL"/>
        </w:rPr>
        <w:t xml:space="preserve"> (Bb-12) przeznaczonego do</w:t>
      </w:r>
    </w:p>
    <w:p w:rsidR="007636EA" w:rsidRPr="007636EA" w:rsidRDefault="007636EA" w:rsidP="00B55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7636EA">
        <w:rPr>
          <w:rFonts w:ascii="Arial" w:eastAsia="Times New Roman" w:hAnsi="Arial" w:cs="Arial"/>
          <w:lang w:eastAsia="pl-PL"/>
        </w:rPr>
        <w:t>stosowania u dzieci (brak dolnej granicy wieku) i dorosłych, opakowanie</w:t>
      </w:r>
    </w:p>
    <w:p w:rsidR="007636EA" w:rsidRPr="007636EA" w:rsidRDefault="007636EA" w:rsidP="00B55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7636EA">
        <w:rPr>
          <w:rFonts w:ascii="Arial" w:eastAsia="Times New Roman" w:hAnsi="Arial" w:cs="Arial"/>
          <w:lang w:eastAsia="pl-PL"/>
        </w:rPr>
        <w:t>zawiera 20 kapsułek, po przeliczeniu kapsułek na odpowiednią liczbę</w:t>
      </w:r>
    </w:p>
    <w:p w:rsidR="007636EA" w:rsidRPr="007636EA" w:rsidRDefault="003E1A3C" w:rsidP="00B55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  <w:r w:rsidR="007636EA" w:rsidRPr="007636EA">
        <w:rPr>
          <w:rFonts w:ascii="Arial" w:eastAsia="Times New Roman" w:hAnsi="Arial" w:cs="Arial"/>
          <w:lang w:eastAsia="pl-PL"/>
        </w:rPr>
        <w:t>opakowań?</w:t>
      </w:r>
    </w:p>
    <w:p w:rsidR="003E1A3C" w:rsidRDefault="003E1A3C" w:rsidP="00B554F7">
      <w:pPr>
        <w:tabs>
          <w:tab w:val="left" w:pos="567"/>
          <w:tab w:val="left" w:pos="851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80825">
        <w:rPr>
          <w:rFonts w:ascii="Arial" w:hAnsi="Arial" w:cs="Arial"/>
          <w:b/>
        </w:rPr>
        <w:t xml:space="preserve">Odp. </w:t>
      </w:r>
      <w:r>
        <w:rPr>
          <w:rFonts w:ascii="Arial" w:eastAsia="Times New Roman" w:hAnsi="Arial" w:cs="Arial"/>
          <w:b/>
        </w:rPr>
        <w:t>Zamawiający nie dopuszcza.</w:t>
      </w:r>
    </w:p>
    <w:p w:rsidR="007C09A7" w:rsidRPr="007C09A7" w:rsidRDefault="007C09A7" w:rsidP="00B554F7">
      <w:pPr>
        <w:tabs>
          <w:tab w:val="left" w:pos="567"/>
          <w:tab w:val="left" w:pos="851"/>
        </w:tabs>
        <w:spacing w:after="0" w:line="240" w:lineRule="auto"/>
        <w:rPr>
          <w:rFonts w:ascii="Arial" w:hAnsi="Arial" w:cs="Arial"/>
          <w:b/>
          <w:u w:val="single"/>
        </w:rPr>
      </w:pPr>
      <w:r w:rsidRPr="007C09A7">
        <w:rPr>
          <w:rFonts w:ascii="Arial" w:eastAsia="Times New Roman" w:hAnsi="Arial" w:cs="Arial"/>
          <w:b/>
          <w:u w:val="single"/>
        </w:rPr>
        <w:t>13.Pytanie</w:t>
      </w:r>
    </w:p>
    <w:p w:rsidR="007C09A7" w:rsidRPr="007C09A7" w:rsidRDefault="007C09A7" w:rsidP="00B554F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C09A7">
        <w:rPr>
          <w:rFonts w:ascii="Arial" w:eastAsia="Times New Roman" w:hAnsi="Arial" w:cs="Arial"/>
          <w:lang w:eastAsia="pl-PL"/>
        </w:rPr>
        <w:t xml:space="preserve">Zwracamy się z zapytaniem czy Zamawiający wyrazi zgodę na wydzielenie poniższych pozycji i utworzenie dla nich oddzielnego pakietu, tj.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94"/>
        <w:gridCol w:w="2268"/>
        <w:gridCol w:w="1133"/>
        <w:gridCol w:w="1417"/>
        <w:gridCol w:w="1276"/>
        <w:gridCol w:w="567"/>
        <w:gridCol w:w="533"/>
      </w:tblGrid>
      <w:tr w:rsidR="007C09A7" w:rsidRPr="007C09A7" w:rsidTr="004D3EF6">
        <w:trPr>
          <w:trHeight w:val="28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Aktualny Numer pakietu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 w pakiecie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Postać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1 Leki różne 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Gliclazidum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Diaprel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MR x 60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tabl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 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tabletki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60 tabl.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1 Leki różne 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Indapamidum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Tertensif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SR x 90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tabletek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1,5 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tabletki powlekane o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przedłuzonym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uwalnianiu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90 tabl.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1 Leki różne 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Perindoprilum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argininum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Prestarium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 mg x 90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tabletki powlekane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90 tabl.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1 Leki różne 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Perindoprilum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argininum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Prestarium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 mg x 90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tabletki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90 tabl.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Pakiet 6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Perindopril +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idapamid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+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amlodypina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Triplixam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5mg+1,25mg+10mg op x 30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tabletek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5mg+1,25mg+10mg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tabletka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30tabletek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Pakiet 6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Perindopril +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idapamid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+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amlodypina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Triplixam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5mg+1,25mg+5mg op x 30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tabletek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5mg+1,25mg+5mg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tabletki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30 tabletek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7C09A7" w:rsidRPr="007C09A7" w:rsidTr="004D3EF6">
        <w:trPr>
          <w:trHeight w:val="27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Pakiet 6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Perindopril +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idapamid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+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amlodypina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Triplixam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10mg+2,5mg+5mg op x 30 </w:t>
            </w: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tabletek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10mg+2,5mg+5mg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tabletki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</w:t>
            </w:r>
            <w:proofErr w:type="spellEnd"/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30 tabletek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9A7" w:rsidRPr="007C09A7" w:rsidRDefault="007C09A7" w:rsidP="007C09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0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</w:tbl>
    <w:p w:rsidR="007C09A7" w:rsidRDefault="001B52AB" w:rsidP="007C09A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 xml:space="preserve">Odp. </w:t>
      </w:r>
      <w:r w:rsidRPr="001B52AB">
        <w:rPr>
          <w:rFonts w:ascii="Arial" w:eastAsia="Times New Roman" w:hAnsi="Arial" w:cs="Arial"/>
          <w:b/>
          <w:lang w:eastAsia="pl-PL"/>
        </w:rPr>
        <w:t>Zgodnie z SIWZ</w:t>
      </w:r>
    </w:p>
    <w:p w:rsidR="001B52AB" w:rsidRDefault="001B52AB" w:rsidP="007C09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7C09A7" w:rsidRPr="007C09A7" w:rsidRDefault="007C09A7" w:rsidP="007C09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7C09A7">
        <w:rPr>
          <w:rFonts w:ascii="Arial" w:eastAsia="Times New Roman" w:hAnsi="Arial" w:cs="Arial"/>
          <w:b/>
          <w:u w:val="single"/>
          <w:lang w:eastAsia="pl-PL"/>
        </w:rPr>
        <w:t>14 Pytanie</w:t>
      </w:r>
    </w:p>
    <w:p w:rsidR="007C09A7" w:rsidRDefault="007C09A7" w:rsidP="001B52A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C09A7">
        <w:rPr>
          <w:rFonts w:ascii="Arial" w:eastAsia="Times New Roman" w:hAnsi="Arial" w:cs="Arial"/>
          <w:lang w:eastAsia="pl-PL"/>
        </w:rPr>
        <w:t>Czy Zamawiający wyrazi zgodę na przedstawienie oferty na leki w innych wielkościach opakowań z zachowaniem odpowiedniego przeliczenia ilości? Jak należałoby dokonać przeliczenia: zachowując 2 miejsca po przecinku czy też zaokrąglając w górę/ dół do pełnego opakowania?</w:t>
      </w:r>
    </w:p>
    <w:p w:rsidR="001B52AB" w:rsidRDefault="001B52AB" w:rsidP="001B52A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B52AB">
        <w:rPr>
          <w:rFonts w:ascii="Arial" w:eastAsia="Times New Roman" w:hAnsi="Arial" w:cs="Arial"/>
          <w:b/>
          <w:lang w:eastAsia="pl-PL"/>
        </w:rPr>
        <w:t>Odp.</w:t>
      </w:r>
      <w:r>
        <w:rPr>
          <w:rFonts w:ascii="Arial" w:eastAsia="Times New Roman" w:hAnsi="Arial" w:cs="Arial"/>
          <w:lang w:eastAsia="pl-PL"/>
        </w:rPr>
        <w:t xml:space="preserve"> Z</w:t>
      </w:r>
      <w:r w:rsidRPr="007C09A7">
        <w:rPr>
          <w:rFonts w:ascii="Arial" w:eastAsia="Times New Roman" w:hAnsi="Arial" w:cs="Arial"/>
          <w:lang w:eastAsia="pl-PL"/>
        </w:rPr>
        <w:t>aokrąglając w górę</w:t>
      </w:r>
      <w:r>
        <w:rPr>
          <w:rFonts w:ascii="Arial" w:eastAsia="Times New Roman" w:hAnsi="Arial" w:cs="Arial"/>
          <w:lang w:eastAsia="pl-PL"/>
        </w:rPr>
        <w:t xml:space="preserve"> do pełnego opakowania.</w:t>
      </w:r>
    </w:p>
    <w:p w:rsidR="001B52AB" w:rsidRDefault="001B52AB" w:rsidP="001B52A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16FA" w:rsidRPr="002F16FA" w:rsidRDefault="002F16FA" w:rsidP="007C09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F16FA">
        <w:rPr>
          <w:rFonts w:ascii="Arial" w:eastAsia="Times New Roman" w:hAnsi="Arial" w:cs="Arial"/>
          <w:b/>
          <w:u w:val="single"/>
          <w:lang w:eastAsia="pl-PL"/>
        </w:rPr>
        <w:t>15 Pytanie</w:t>
      </w:r>
    </w:p>
    <w:p w:rsidR="000D044B" w:rsidRDefault="000D044B" w:rsidP="0095062B">
      <w:pPr>
        <w:pStyle w:val="Akapitzlist"/>
        <w:autoSpaceDE w:val="0"/>
        <w:autoSpaceDN w:val="0"/>
        <w:ind w:left="142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>Czy Zamawiający w par. 2.11 i 2.12 zamiast obowiązku wprowadzi prawo do dostarczenia zamiennika? Wykonawca oferuje towary wskazane w ofercie i tylko one są przedmiotem zamówienia publicznego w niniejszym postępowaniu.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2F16FA" w:rsidRPr="00B554F7" w:rsidRDefault="00D4045C" w:rsidP="00B554F7">
      <w:pPr>
        <w:autoSpaceDE w:val="0"/>
        <w:autoSpaceDN w:val="0"/>
        <w:spacing w:after="0"/>
        <w:ind w:left="-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16 Pytanie</w:t>
      </w:r>
    </w:p>
    <w:p w:rsidR="002F16FA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2F16FA">
        <w:rPr>
          <w:rFonts w:ascii="Arial" w:hAnsi="Arial" w:cs="Arial"/>
          <w:sz w:val="22"/>
          <w:szCs w:val="22"/>
        </w:rPr>
        <w:t xml:space="preserve">Czy Zamawiający wykreśli w par. 2.13. frazę: „Jednocześnie Zamawiający oświadcza, że umniejszy ilości przewidywane umową o ilości  zrealizowane u innego dostawcy obciążając  wykonawcę karą w wysokości 10 %  wartości brutto niezrealizowanej zgodnie z umową dostawy z bieżących płatności przysługujących Wykonawcy.”, względnie zmniejszy wysokość kary umownej do wartości max. 0,2%, gdyż obecna jest rażąco </w:t>
      </w:r>
      <w:r w:rsidRPr="002F16FA">
        <w:rPr>
          <w:rFonts w:ascii="Arial" w:hAnsi="Arial" w:cs="Arial"/>
          <w:sz w:val="22"/>
          <w:szCs w:val="22"/>
        </w:rPr>
        <w:lastRenderedPageBreak/>
        <w:t>wygórowana? Wykonawca i tak poniesie dodatkowe koszty związane z dostawą wykonaną przez podmiot trzeci i dlatego obciążanie go dodatkową karą umowną nie znajduje uzasadnienia.</w:t>
      </w:r>
    </w:p>
    <w:p w:rsidR="00D4045C" w:rsidRPr="00D4045C" w:rsidRDefault="00D4045C" w:rsidP="00D4045C">
      <w:pPr>
        <w:autoSpaceDE w:val="0"/>
        <w:autoSpaceDN w:val="0"/>
        <w:adjustRightInd w:val="0"/>
        <w:ind w:left="-76"/>
        <w:rPr>
          <w:rFonts w:ascii="Arial" w:hAnsi="Arial" w:cs="Arial"/>
        </w:rPr>
      </w:pPr>
      <w:r w:rsidRPr="00D4045C">
        <w:rPr>
          <w:rFonts w:ascii="Arial" w:hAnsi="Arial" w:cs="Arial"/>
          <w:b/>
        </w:rPr>
        <w:t>Odp. Zgodnie z SIWZ</w:t>
      </w:r>
      <w:r>
        <w:rPr>
          <w:rFonts w:ascii="Arial" w:hAnsi="Arial" w:cs="Arial"/>
        </w:rPr>
        <w:t>. Wywiązujący się z umowy Wykonawca nie będzie narażony na rażąco wygórowaną karę. Zamawiający uważa że będą to wyjątki.</w:t>
      </w:r>
    </w:p>
    <w:p w:rsidR="002F16FA" w:rsidRPr="002F16FA" w:rsidRDefault="002F16FA" w:rsidP="00BB0152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17 Pytanie</w:t>
      </w:r>
      <w:r w:rsidR="000D044B" w:rsidRPr="002F16FA">
        <w:rPr>
          <w:rFonts w:ascii="Arial" w:hAnsi="Arial" w:cs="Arial"/>
          <w:b/>
          <w:u w:val="single"/>
        </w:rPr>
        <w:t xml:space="preserve"> </w:t>
      </w:r>
    </w:p>
    <w:p w:rsidR="000D044B" w:rsidRDefault="000D044B" w:rsidP="00BB0152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2F16FA">
        <w:rPr>
          <w:rFonts w:ascii="Arial" w:hAnsi="Arial" w:cs="Arial"/>
          <w:iCs/>
          <w:sz w:val="22"/>
          <w:szCs w:val="22"/>
        </w:rPr>
        <w:t xml:space="preserve">Czy Zamawiający zmniejszy wysokość kary umownej określonej w par. 6.1 </w:t>
      </w:r>
      <w:proofErr w:type="spellStart"/>
      <w:r w:rsidRPr="002F16FA">
        <w:rPr>
          <w:rFonts w:ascii="Arial" w:hAnsi="Arial" w:cs="Arial"/>
          <w:i/>
          <w:iCs/>
          <w:sz w:val="22"/>
          <w:szCs w:val="22"/>
        </w:rPr>
        <w:t>tiret</w:t>
      </w:r>
      <w:proofErr w:type="spellEnd"/>
      <w:r w:rsidRPr="002F16FA">
        <w:rPr>
          <w:rFonts w:ascii="Arial" w:hAnsi="Arial" w:cs="Arial"/>
          <w:i/>
          <w:iCs/>
          <w:sz w:val="22"/>
          <w:szCs w:val="22"/>
        </w:rPr>
        <w:t xml:space="preserve"> 2</w:t>
      </w:r>
      <w:r w:rsidRPr="002F16FA">
        <w:rPr>
          <w:rFonts w:ascii="Arial" w:hAnsi="Arial" w:cs="Arial"/>
          <w:iCs/>
          <w:sz w:val="22"/>
          <w:szCs w:val="22"/>
        </w:rPr>
        <w:t xml:space="preserve"> to jest usunie jej minimalną wartość poprzez wykreślenie frazy: „</w:t>
      </w:r>
      <w:r w:rsidRPr="002F16FA">
        <w:rPr>
          <w:rFonts w:ascii="Arial" w:hAnsi="Arial" w:cs="Arial"/>
          <w:sz w:val="22"/>
          <w:szCs w:val="22"/>
        </w:rPr>
        <w:t>jednak nie mniej niż 30 zł dziennie.”? Obecny sposób naliczania kar umownych grozi ich naliczeniem w wysokości rażąco wygórowanej.</w:t>
      </w:r>
    </w:p>
    <w:p w:rsidR="0095062B" w:rsidRPr="0095062B" w:rsidRDefault="0095062B" w:rsidP="0095062B">
      <w:pPr>
        <w:autoSpaceDE w:val="0"/>
        <w:autoSpaceDN w:val="0"/>
        <w:rPr>
          <w:rFonts w:ascii="Arial" w:hAnsi="Arial" w:cs="Arial"/>
          <w:b/>
          <w:sz w:val="26"/>
          <w:szCs w:val="24"/>
        </w:rPr>
      </w:pPr>
      <w:r w:rsidRPr="0095062B"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18 Pytanie</w:t>
      </w:r>
    </w:p>
    <w:p w:rsidR="000D044B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iCs/>
          <w:sz w:val="22"/>
          <w:szCs w:val="22"/>
        </w:rPr>
        <w:t xml:space="preserve">Czy Zamawiający zmniejszy wysokość kary umownej określonej w par. 6.1 </w:t>
      </w:r>
      <w:proofErr w:type="spellStart"/>
      <w:r w:rsidRPr="000D044B">
        <w:rPr>
          <w:rFonts w:ascii="Arial" w:hAnsi="Arial" w:cs="Arial"/>
          <w:i/>
          <w:iCs/>
          <w:sz w:val="22"/>
          <w:szCs w:val="22"/>
        </w:rPr>
        <w:t>tiret</w:t>
      </w:r>
      <w:proofErr w:type="spellEnd"/>
      <w:r w:rsidRPr="000D044B">
        <w:rPr>
          <w:rFonts w:ascii="Arial" w:hAnsi="Arial" w:cs="Arial"/>
          <w:i/>
          <w:iCs/>
          <w:sz w:val="22"/>
          <w:szCs w:val="22"/>
        </w:rPr>
        <w:t xml:space="preserve"> 3</w:t>
      </w:r>
      <w:r w:rsidRPr="000D044B">
        <w:rPr>
          <w:rFonts w:ascii="Arial" w:hAnsi="Arial" w:cs="Arial"/>
          <w:iCs/>
          <w:sz w:val="22"/>
          <w:szCs w:val="22"/>
        </w:rPr>
        <w:t xml:space="preserve"> to jest usunie jej minimalną wartość poprzez wykreślenie frazy: „</w:t>
      </w:r>
      <w:r w:rsidRPr="000D044B">
        <w:rPr>
          <w:rFonts w:ascii="Arial" w:hAnsi="Arial" w:cs="Arial"/>
          <w:sz w:val="22"/>
          <w:szCs w:val="22"/>
        </w:rPr>
        <w:t>jednak nie mniej niż 30 zł dziennie.”? Obecny sposób naliczania kar umownych grozi ich naliczeniem</w:t>
      </w:r>
      <w:r w:rsidR="0095062B">
        <w:rPr>
          <w:rFonts w:ascii="Arial" w:hAnsi="Arial" w:cs="Arial"/>
          <w:sz w:val="22"/>
          <w:szCs w:val="22"/>
        </w:rPr>
        <w:t xml:space="preserve"> w wysokości rażąco wygórowanej.</w:t>
      </w:r>
    </w:p>
    <w:p w:rsidR="0095062B" w:rsidRPr="0095062B" w:rsidRDefault="0095062B" w:rsidP="0095062B">
      <w:pPr>
        <w:autoSpaceDE w:val="0"/>
        <w:autoSpaceDN w:val="0"/>
        <w:ind w:left="-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19 Pytanie</w:t>
      </w:r>
    </w:p>
    <w:p w:rsidR="000D044B" w:rsidRPr="0095062B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 xml:space="preserve">Czy Zamawiający dopisze w par 6.2 </w:t>
      </w:r>
      <w:proofErr w:type="spellStart"/>
      <w:r w:rsidRPr="000D044B">
        <w:rPr>
          <w:rFonts w:ascii="Arial" w:hAnsi="Arial" w:cs="Arial"/>
          <w:sz w:val="22"/>
          <w:szCs w:val="22"/>
        </w:rPr>
        <w:t>tiret</w:t>
      </w:r>
      <w:proofErr w:type="spellEnd"/>
      <w:r w:rsidRPr="000D044B">
        <w:rPr>
          <w:rFonts w:ascii="Arial" w:hAnsi="Arial" w:cs="Arial"/>
          <w:sz w:val="22"/>
          <w:szCs w:val="22"/>
        </w:rPr>
        <w:t xml:space="preserve"> pierwsze, że chodzi o odsetki ustawowe </w:t>
      </w:r>
      <w:r w:rsidRPr="000D044B">
        <w:rPr>
          <w:rFonts w:ascii="Arial" w:hAnsi="Arial" w:cs="Arial"/>
          <w:sz w:val="22"/>
          <w:szCs w:val="22"/>
          <w:u w:val="single"/>
        </w:rPr>
        <w:t>za opóźnienie?</w:t>
      </w:r>
    </w:p>
    <w:p w:rsidR="0095062B" w:rsidRPr="0095062B" w:rsidRDefault="0095062B" w:rsidP="00B554F7">
      <w:pPr>
        <w:autoSpaceDE w:val="0"/>
        <w:autoSpaceDN w:val="0"/>
        <w:spacing w:after="0"/>
        <w:rPr>
          <w:rFonts w:ascii="Arial" w:hAnsi="Arial" w:cs="Arial"/>
          <w:b/>
        </w:rPr>
      </w:pPr>
      <w:r w:rsidRPr="0095062B"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20 Pytanie</w:t>
      </w:r>
    </w:p>
    <w:p w:rsidR="000D044B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>Czy Zamawiający wykreśli par. 9.2.e.?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95062B" w:rsidRPr="0095062B" w:rsidRDefault="0095062B" w:rsidP="0095062B">
      <w:pPr>
        <w:autoSpaceDE w:val="0"/>
        <w:autoSpaceDN w:val="0"/>
        <w:ind w:left="-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21 Pytanie</w:t>
      </w:r>
    </w:p>
    <w:p w:rsidR="000D044B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>Czy Zamawiający wykreśli par. 9.2.h.?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95062B" w:rsidRPr="00D4045C" w:rsidRDefault="0095062B" w:rsidP="00B554F7">
      <w:pPr>
        <w:autoSpaceDE w:val="0"/>
        <w:autoSpaceDN w:val="0"/>
        <w:spacing w:after="0"/>
        <w:ind w:left="-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Odp. Zgodnie z SIWZ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22 Pytanie</w:t>
      </w:r>
    </w:p>
    <w:p w:rsidR="000D044B" w:rsidRDefault="000D044B" w:rsidP="00B554F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>Wykonawca zwraca uwagę, że par. 9.2.i zawiera odesłanie do nieistniejącej jednostki redakcyjnej (par. 8.2 nie ma)</w:t>
      </w:r>
    </w:p>
    <w:p w:rsidR="0095062B" w:rsidRPr="00B554F7" w:rsidRDefault="0095062B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BB0152">
        <w:rPr>
          <w:rFonts w:ascii="Arial" w:hAnsi="Arial" w:cs="Arial"/>
          <w:b/>
        </w:rPr>
        <w:t>Odp.</w:t>
      </w:r>
      <w:r>
        <w:rPr>
          <w:rFonts w:ascii="Arial" w:hAnsi="Arial" w:cs="Arial"/>
        </w:rPr>
        <w:t xml:space="preserve"> </w:t>
      </w:r>
      <w:r w:rsidRPr="00B554F7">
        <w:rPr>
          <w:rFonts w:ascii="Arial" w:hAnsi="Arial" w:cs="Arial"/>
          <w:b/>
        </w:rPr>
        <w:t>Zamawiający wykreśla z par. 9.2.i zdanie „ w przypadku o którym mowa w zdaniu poprzedzającym</w:t>
      </w:r>
      <w:r w:rsidR="00174CC3" w:rsidRPr="00B554F7">
        <w:rPr>
          <w:rFonts w:ascii="Arial" w:hAnsi="Arial" w:cs="Arial"/>
          <w:b/>
        </w:rPr>
        <w:t xml:space="preserve"> </w:t>
      </w:r>
      <w:r w:rsidRPr="00B554F7">
        <w:rPr>
          <w:rFonts w:ascii="Arial" w:hAnsi="Arial" w:cs="Arial"/>
          <w:b/>
        </w:rPr>
        <w:t>par. 8</w:t>
      </w:r>
      <w:r w:rsidR="00174CC3" w:rsidRPr="00B554F7">
        <w:rPr>
          <w:rFonts w:ascii="Arial" w:hAnsi="Arial" w:cs="Arial"/>
          <w:b/>
        </w:rPr>
        <w:t>.2 umowy nie stosuje się „</w:t>
      </w:r>
    </w:p>
    <w:p w:rsidR="002F16FA" w:rsidRPr="002F16FA" w:rsidRDefault="002F16FA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2F16FA">
        <w:rPr>
          <w:rFonts w:ascii="Arial" w:hAnsi="Arial" w:cs="Arial"/>
          <w:b/>
          <w:u w:val="single"/>
        </w:rPr>
        <w:t>23 Pytanie</w:t>
      </w:r>
    </w:p>
    <w:p w:rsidR="000D044B" w:rsidRDefault="000D044B" w:rsidP="00B554F7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D044B">
        <w:rPr>
          <w:rFonts w:ascii="Arial" w:hAnsi="Arial" w:cs="Arial"/>
          <w:sz w:val="22"/>
          <w:szCs w:val="22"/>
        </w:rPr>
        <w:t>Wykonawca zwraca się z prośbą o wskazanie terminów wymiany reklamowanego towaru, jest to jedno z kryteriów którymi Zamawiający będzie kierował się przy wyborze ofert.</w:t>
      </w:r>
    </w:p>
    <w:p w:rsidR="00A53EAE" w:rsidRPr="00B554F7" w:rsidRDefault="00BB0152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Odp.</w:t>
      </w:r>
      <w:r w:rsidR="00B554F7">
        <w:rPr>
          <w:rFonts w:ascii="Arial" w:hAnsi="Arial" w:cs="Arial"/>
          <w:b/>
          <w:u w:val="single"/>
        </w:rPr>
        <w:t xml:space="preserve"> </w:t>
      </w:r>
      <w:r w:rsidRPr="00B554F7">
        <w:rPr>
          <w:rFonts w:ascii="Arial" w:hAnsi="Arial" w:cs="Arial"/>
          <w:b/>
        </w:rPr>
        <w:t>Terminy wymiany towarów są zdefiniowane w formularzu ofertowym w kolumnie „ Termin wymiany reklamowanego towaru.”</w:t>
      </w:r>
    </w:p>
    <w:p w:rsidR="001B52AB" w:rsidRDefault="001B52AB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2F16FA" w:rsidRPr="002F16FA" w:rsidRDefault="00A53EAE" w:rsidP="00B554F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24 Pytanie</w:t>
      </w:r>
    </w:p>
    <w:p w:rsidR="00E832C3" w:rsidRPr="00A53EAE" w:rsidRDefault="00A53EAE" w:rsidP="00B554F7">
      <w:pPr>
        <w:spacing w:after="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Pakiet</w:t>
      </w:r>
      <w:r w:rsidR="00E832C3" w:rsidRPr="00A53EAE">
        <w:rPr>
          <w:rFonts w:ascii="Arial" w:eastAsia="Calibri" w:hAnsi="Arial" w:cs="Arial"/>
          <w:u w:val="single"/>
        </w:rPr>
        <w:t xml:space="preserve"> 8 poz. 8 </w:t>
      </w:r>
    </w:p>
    <w:p w:rsidR="00E832C3" w:rsidRDefault="00E832C3" w:rsidP="001B52AB">
      <w:pPr>
        <w:spacing w:after="0"/>
        <w:ind w:left="360"/>
        <w:rPr>
          <w:rFonts w:ascii="Arial" w:eastAsia="Calibri" w:hAnsi="Arial" w:cs="Arial"/>
        </w:rPr>
      </w:pPr>
      <w:r w:rsidRPr="00A53EAE">
        <w:rPr>
          <w:rFonts w:ascii="Arial" w:eastAsia="Calibri" w:hAnsi="Arial" w:cs="Arial"/>
        </w:rPr>
        <w:t xml:space="preserve">Czy Zamawiający dopuści zaoferowanie produktu Encapsa30 Dr, będącego suplementem diety, zawierającego żywe, </w:t>
      </w:r>
      <w:proofErr w:type="spellStart"/>
      <w:r w:rsidRPr="00A53EAE">
        <w:rPr>
          <w:rFonts w:ascii="Arial" w:eastAsia="Calibri" w:hAnsi="Arial" w:cs="Arial"/>
        </w:rPr>
        <w:t>mikroenkapsulowane</w:t>
      </w:r>
      <w:proofErr w:type="spellEnd"/>
      <w:r w:rsidRPr="00A53EAE">
        <w:rPr>
          <w:rFonts w:ascii="Arial" w:eastAsia="Calibri" w:hAnsi="Arial" w:cs="Arial"/>
        </w:rPr>
        <w:t xml:space="preserve"> bakterie </w:t>
      </w:r>
      <w:proofErr w:type="spellStart"/>
      <w:r w:rsidRPr="00A53EAE">
        <w:rPr>
          <w:rFonts w:ascii="Arial" w:eastAsia="Calibri" w:hAnsi="Arial" w:cs="Arial"/>
        </w:rPr>
        <w:t>probiotyczne</w:t>
      </w:r>
      <w:proofErr w:type="spellEnd"/>
      <w:r w:rsidRPr="00A53EAE">
        <w:rPr>
          <w:rFonts w:ascii="Arial" w:eastAsia="Calibri" w:hAnsi="Arial" w:cs="Arial"/>
        </w:rPr>
        <w:t xml:space="preserve"> szczepu bakterii </w:t>
      </w:r>
      <w:proofErr w:type="spellStart"/>
      <w:r w:rsidRPr="00A53EAE">
        <w:rPr>
          <w:rFonts w:ascii="Arial" w:eastAsia="Calibri" w:hAnsi="Arial" w:cs="Arial"/>
        </w:rPr>
        <w:t>probiotycznych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Lactobacillus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rhamnosus</w:t>
      </w:r>
      <w:proofErr w:type="spellEnd"/>
      <w:r w:rsidRPr="00A53EAE">
        <w:rPr>
          <w:rFonts w:ascii="Arial" w:eastAsia="Calibri" w:hAnsi="Arial" w:cs="Arial"/>
        </w:rPr>
        <w:t xml:space="preserve"> GG ATTC53103 (stężenie żywych kultur </w:t>
      </w:r>
      <w:proofErr w:type="spellStart"/>
      <w:r w:rsidRPr="00A53EAE">
        <w:rPr>
          <w:rFonts w:ascii="Arial" w:eastAsia="Calibri" w:hAnsi="Arial" w:cs="Arial"/>
        </w:rPr>
        <w:t>mikroenkapsulowanych</w:t>
      </w:r>
      <w:proofErr w:type="spellEnd"/>
      <w:r w:rsidRPr="00A53EAE">
        <w:rPr>
          <w:rFonts w:ascii="Arial" w:eastAsia="Calibri" w:hAnsi="Arial" w:cs="Arial"/>
        </w:rPr>
        <w:t xml:space="preserve"> bakterii wynosi 0,6 mld CFU/ kapsułkę – badania naukowe dowodzą, że odpowiada ono skuteczności 3 mld bakterii liofilizowanych); konfekcjonowanego w opakowaniach po 20 kapsułek? Technika </w:t>
      </w:r>
      <w:proofErr w:type="spellStart"/>
      <w:r w:rsidRPr="00A53EAE">
        <w:rPr>
          <w:rFonts w:ascii="Arial" w:eastAsia="Calibri" w:hAnsi="Arial" w:cs="Arial"/>
        </w:rPr>
        <w:t>mikroenkapsulacji</w:t>
      </w:r>
      <w:proofErr w:type="spellEnd"/>
      <w:r w:rsidRPr="00A53EAE">
        <w:rPr>
          <w:rFonts w:ascii="Arial" w:eastAsia="Calibri" w:hAnsi="Arial" w:cs="Arial"/>
        </w:rPr>
        <w:t xml:space="preserve"> zapewnia wyższą skuteczność kolonizacji jelita przez bakterie, większą odporność na działanie czynników zewnętrznych oraz pozwala na wydłużenie okresu stabilności produktu.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  <w:color w:val="000000"/>
        </w:rPr>
      </w:pPr>
      <w:r w:rsidRPr="001B52AB">
        <w:rPr>
          <w:rFonts w:ascii="Arial" w:eastAsia="Calibri" w:hAnsi="Arial" w:cs="Arial"/>
          <w:b/>
        </w:rPr>
        <w:t>Odp.</w:t>
      </w:r>
      <w:r>
        <w:rPr>
          <w:rFonts w:ascii="Arial" w:eastAsia="Calibri" w:hAnsi="Arial" w:cs="Arial"/>
        </w:rPr>
        <w:t xml:space="preserve"> Zamawiający nie dopuszcza, zgodnie z SIWZ.</w:t>
      </w:r>
    </w:p>
    <w:p w:rsidR="001B52AB" w:rsidRDefault="001B52AB" w:rsidP="00B554F7">
      <w:pPr>
        <w:spacing w:after="0"/>
        <w:rPr>
          <w:rFonts w:ascii="Arial" w:eastAsia="Calibri" w:hAnsi="Arial" w:cs="Arial"/>
          <w:b/>
          <w:u w:val="single"/>
        </w:rPr>
      </w:pPr>
    </w:p>
    <w:p w:rsidR="00A53EAE" w:rsidRPr="00A53EAE" w:rsidRDefault="00A53EAE" w:rsidP="00B554F7">
      <w:pPr>
        <w:spacing w:after="0"/>
        <w:rPr>
          <w:rFonts w:ascii="Arial" w:eastAsia="Calibri" w:hAnsi="Arial" w:cs="Arial"/>
          <w:b/>
          <w:u w:val="single"/>
        </w:rPr>
      </w:pPr>
      <w:r w:rsidRPr="00A53EAE">
        <w:rPr>
          <w:rFonts w:ascii="Arial" w:eastAsia="Calibri" w:hAnsi="Arial" w:cs="Arial"/>
          <w:b/>
          <w:u w:val="single"/>
        </w:rPr>
        <w:t>25 Pytanie</w:t>
      </w:r>
    </w:p>
    <w:p w:rsidR="00A53EAE" w:rsidRPr="00A53EAE" w:rsidRDefault="00A53EAE" w:rsidP="00B554F7">
      <w:pPr>
        <w:spacing w:after="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Pakiet</w:t>
      </w:r>
      <w:r w:rsidRPr="00A53EAE">
        <w:rPr>
          <w:rFonts w:ascii="Arial" w:eastAsia="Calibri" w:hAnsi="Arial" w:cs="Arial"/>
          <w:u w:val="single"/>
        </w:rPr>
        <w:t xml:space="preserve"> 8 poz. 8 </w:t>
      </w:r>
    </w:p>
    <w:p w:rsidR="00E832C3" w:rsidRDefault="00E832C3" w:rsidP="00B554F7">
      <w:pPr>
        <w:spacing w:after="0"/>
        <w:ind w:left="360"/>
        <w:rPr>
          <w:rFonts w:ascii="Arial" w:eastAsia="Calibri" w:hAnsi="Arial" w:cs="Arial"/>
        </w:rPr>
      </w:pPr>
      <w:r w:rsidRPr="00A53EAE">
        <w:rPr>
          <w:rFonts w:ascii="Arial" w:eastAsia="Calibri" w:hAnsi="Arial" w:cs="Arial"/>
        </w:rPr>
        <w:t xml:space="preserve">Czy Zamawiający dopuści zaoferowanie produktu </w:t>
      </w:r>
      <w:proofErr w:type="spellStart"/>
      <w:r w:rsidRPr="00A53EAE">
        <w:rPr>
          <w:rFonts w:ascii="Arial" w:eastAsia="Calibri" w:hAnsi="Arial" w:cs="Arial"/>
        </w:rPr>
        <w:t>EncapsaDr</w:t>
      </w:r>
      <w:proofErr w:type="spellEnd"/>
      <w:r w:rsidRPr="00A53EAE">
        <w:rPr>
          <w:rFonts w:ascii="Arial" w:eastAsia="Calibri" w:hAnsi="Arial" w:cs="Arial"/>
        </w:rPr>
        <w:t xml:space="preserve">, będącego suplementem diety, zawierającego żywe, </w:t>
      </w:r>
      <w:proofErr w:type="spellStart"/>
      <w:r w:rsidRPr="00A53EAE">
        <w:rPr>
          <w:rFonts w:ascii="Arial" w:eastAsia="Calibri" w:hAnsi="Arial" w:cs="Arial"/>
        </w:rPr>
        <w:t>mikroenkapsulowane</w:t>
      </w:r>
      <w:proofErr w:type="spellEnd"/>
      <w:r w:rsidRPr="00A53EAE">
        <w:rPr>
          <w:rFonts w:ascii="Arial" w:eastAsia="Calibri" w:hAnsi="Arial" w:cs="Arial"/>
        </w:rPr>
        <w:t xml:space="preserve"> bakterie </w:t>
      </w:r>
      <w:proofErr w:type="spellStart"/>
      <w:r w:rsidRPr="00A53EAE">
        <w:rPr>
          <w:rFonts w:ascii="Arial" w:eastAsia="Calibri" w:hAnsi="Arial" w:cs="Arial"/>
        </w:rPr>
        <w:t>probiotyczne</w:t>
      </w:r>
      <w:proofErr w:type="spellEnd"/>
      <w:r w:rsidRPr="00A53EAE">
        <w:rPr>
          <w:rFonts w:ascii="Arial" w:eastAsia="Calibri" w:hAnsi="Arial" w:cs="Arial"/>
        </w:rPr>
        <w:t xml:space="preserve"> szczepu bakterii </w:t>
      </w:r>
      <w:proofErr w:type="spellStart"/>
      <w:r w:rsidRPr="00A53EAE">
        <w:rPr>
          <w:rFonts w:ascii="Arial" w:eastAsia="Calibri" w:hAnsi="Arial" w:cs="Arial"/>
        </w:rPr>
        <w:t>probiotycznych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Lactobacillus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rhamnosus</w:t>
      </w:r>
      <w:proofErr w:type="spellEnd"/>
      <w:r w:rsidRPr="00A53EAE">
        <w:rPr>
          <w:rFonts w:ascii="Arial" w:eastAsia="Calibri" w:hAnsi="Arial" w:cs="Arial"/>
        </w:rPr>
        <w:t xml:space="preserve"> GG ATTC53103 (stężenie żywych kultur </w:t>
      </w:r>
      <w:proofErr w:type="spellStart"/>
      <w:r w:rsidRPr="00A53EAE">
        <w:rPr>
          <w:rFonts w:ascii="Arial" w:eastAsia="Calibri" w:hAnsi="Arial" w:cs="Arial"/>
        </w:rPr>
        <w:t>mikroenkapsulowanych</w:t>
      </w:r>
      <w:proofErr w:type="spellEnd"/>
      <w:r w:rsidRPr="00A53EAE">
        <w:rPr>
          <w:rFonts w:ascii="Arial" w:eastAsia="Calibri" w:hAnsi="Arial" w:cs="Arial"/>
        </w:rPr>
        <w:t xml:space="preserve"> bakterii wynosi 1,2 mld CFU/ kapsułkę – badania naukowe dowodzą, że odpowiada ono skuteczności 6 mld bakterii liofilizowanych); konfekcjonowanego w opakowaniach po 20 kapsułek? Technika </w:t>
      </w:r>
      <w:proofErr w:type="spellStart"/>
      <w:r w:rsidRPr="00A53EAE">
        <w:rPr>
          <w:rFonts w:ascii="Arial" w:eastAsia="Calibri" w:hAnsi="Arial" w:cs="Arial"/>
        </w:rPr>
        <w:t>mikroenkapsulacji</w:t>
      </w:r>
      <w:proofErr w:type="spellEnd"/>
      <w:r w:rsidRPr="00A53EAE">
        <w:rPr>
          <w:rFonts w:ascii="Arial" w:eastAsia="Calibri" w:hAnsi="Arial" w:cs="Arial"/>
        </w:rPr>
        <w:t xml:space="preserve"> zapewnia wyższą skuteczność kolonizacji jelita przez bakterie, większą odporność na działanie czynników zewnętrznych oraz pozwala na wydłużenie okresu stabilności produktu.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  <w:color w:val="000000"/>
        </w:rPr>
      </w:pPr>
      <w:r w:rsidRPr="001B52AB">
        <w:rPr>
          <w:rFonts w:ascii="Arial" w:eastAsia="Calibri" w:hAnsi="Arial" w:cs="Arial"/>
          <w:b/>
        </w:rPr>
        <w:t>Odp.</w:t>
      </w:r>
      <w:r>
        <w:rPr>
          <w:rFonts w:ascii="Arial" w:eastAsia="Calibri" w:hAnsi="Arial" w:cs="Arial"/>
        </w:rPr>
        <w:t xml:space="preserve"> Zamawiający nie dopuszcza, zgodnie z SIWZ.</w:t>
      </w:r>
    </w:p>
    <w:p w:rsidR="001B52AB" w:rsidRDefault="001B52AB" w:rsidP="001B52AB">
      <w:pPr>
        <w:spacing w:after="0"/>
        <w:rPr>
          <w:rFonts w:ascii="Arial" w:eastAsia="Calibri" w:hAnsi="Arial" w:cs="Arial"/>
        </w:rPr>
      </w:pPr>
    </w:p>
    <w:p w:rsidR="00A53EAE" w:rsidRPr="00A53EAE" w:rsidRDefault="00A53EAE" w:rsidP="00B554F7">
      <w:pPr>
        <w:spacing w:after="0"/>
        <w:rPr>
          <w:rFonts w:ascii="Arial" w:eastAsia="Calibri" w:hAnsi="Arial" w:cs="Arial"/>
          <w:b/>
          <w:u w:val="single"/>
        </w:rPr>
      </w:pPr>
      <w:r w:rsidRPr="00A53EAE">
        <w:rPr>
          <w:rFonts w:ascii="Arial" w:eastAsia="Calibri" w:hAnsi="Arial" w:cs="Arial"/>
          <w:b/>
          <w:u w:val="single"/>
        </w:rPr>
        <w:t>26 Pytanie</w:t>
      </w:r>
    </w:p>
    <w:p w:rsidR="00E832C3" w:rsidRPr="00A53EAE" w:rsidRDefault="00A53EAE" w:rsidP="00B554F7">
      <w:pPr>
        <w:spacing w:after="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Pakiet</w:t>
      </w:r>
      <w:r w:rsidR="00E832C3" w:rsidRPr="00A53EAE">
        <w:rPr>
          <w:rFonts w:ascii="Arial" w:eastAsia="Calibri" w:hAnsi="Arial" w:cs="Arial"/>
          <w:u w:val="single"/>
        </w:rPr>
        <w:t xml:space="preserve"> 13 poz. 51 </w:t>
      </w:r>
    </w:p>
    <w:p w:rsidR="00E832C3" w:rsidRDefault="00E832C3" w:rsidP="00B554F7">
      <w:pPr>
        <w:spacing w:after="0"/>
        <w:ind w:left="360"/>
        <w:rPr>
          <w:rFonts w:ascii="Arial" w:eastAsia="Calibri" w:hAnsi="Arial" w:cs="Arial"/>
        </w:rPr>
      </w:pPr>
      <w:r w:rsidRPr="00A53EAE">
        <w:rPr>
          <w:rFonts w:ascii="Arial" w:eastAsia="Calibri" w:hAnsi="Arial" w:cs="Arial"/>
        </w:rPr>
        <w:t xml:space="preserve">Czy Zamawiający dopuści zaoferowanie produktu Encapsa30 Dr, będącego suplementem diety, zawierającego żywe, </w:t>
      </w:r>
      <w:proofErr w:type="spellStart"/>
      <w:r w:rsidRPr="00A53EAE">
        <w:rPr>
          <w:rFonts w:ascii="Arial" w:eastAsia="Calibri" w:hAnsi="Arial" w:cs="Arial"/>
        </w:rPr>
        <w:t>mikroenkapsulowane</w:t>
      </w:r>
      <w:proofErr w:type="spellEnd"/>
      <w:r w:rsidRPr="00A53EAE">
        <w:rPr>
          <w:rFonts w:ascii="Arial" w:eastAsia="Calibri" w:hAnsi="Arial" w:cs="Arial"/>
        </w:rPr>
        <w:t xml:space="preserve"> bakterie </w:t>
      </w:r>
      <w:proofErr w:type="spellStart"/>
      <w:r w:rsidRPr="00A53EAE">
        <w:rPr>
          <w:rFonts w:ascii="Arial" w:eastAsia="Calibri" w:hAnsi="Arial" w:cs="Arial"/>
        </w:rPr>
        <w:t>probiotyczne</w:t>
      </w:r>
      <w:proofErr w:type="spellEnd"/>
      <w:r w:rsidRPr="00A53EAE">
        <w:rPr>
          <w:rFonts w:ascii="Arial" w:eastAsia="Calibri" w:hAnsi="Arial" w:cs="Arial"/>
        </w:rPr>
        <w:t xml:space="preserve"> szczepu bakterii </w:t>
      </w:r>
      <w:proofErr w:type="spellStart"/>
      <w:r w:rsidRPr="00A53EAE">
        <w:rPr>
          <w:rFonts w:ascii="Arial" w:eastAsia="Calibri" w:hAnsi="Arial" w:cs="Arial"/>
        </w:rPr>
        <w:t>probiotycznych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Lactobacillus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rhamnosus</w:t>
      </w:r>
      <w:proofErr w:type="spellEnd"/>
      <w:r w:rsidRPr="00A53EAE">
        <w:rPr>
          <w:rFonts w:ascii="Arial" w:eastAsia="Calibri" w:hAnsi="Arial" w:cs="Arial"/>
        </w:rPr>
        <w:t xml:space="preserve"> GG ATTC53103 (stężenie żywych kultur </w:t>
      </w:r>
      <w:proofErr w:type="spellStart"/>
      <w:r w:rsidRPr="00A53EAE">
        <w:rPr>
          <w:rFonts w:ascii="Arial" w:eastAsia="Calibri" w:hAnsi="Arial" w:cs="Arial"/>
        </w:rPr>
        <w:t>mikroenkapsulowanych</w:t>
      </w:r>
      <w:proofErr w:type="spellEnd"/>
      <w:r w:rsidRPr="00A53EAE">
        <w:rPr>
          <w:rFonts w:ascii="Arial" w:eastAsia="Calibri" w:hAnsi="Arial" w:cs="Arial"/>
        </w:rPr>
        <w:t xml:space="preserve"> bakterii wynosi 0,6 mld CFU/ kapsułkę – badania naukowe dowodzą, że odpowiada ono skuteczności 3 mld bakterii liofilizowanych); konfekcjonowanego w opakowaniach po 20 kapsułek? Technika </w:t>
      </w:r>
      <w:proofErr w:type="spellStart"/>
      <w:r w:rsidRPr="00A53EAE">
        <w:rPr>
          <w:rFonts w:ascii="Arial" w:eastAsia="Calibri" w:hAnsi="Arial" w:cs="Arial"/>
        </w:rPr>
        <w:t>mikroenkapsulacji</w:t>
      </w:r>
      <w:proofErr w:type="spellEnd"/>
      <w:r w:rsidRPr="00A53EAE">
        <w:rPr>
          <w:rFonts w:ascii="Arial" w:eastAsia="Calibri" w:hAnsi="Arial" w:cs="Arial"/>
        </w:rPr>
        <w:t xml:space="preserve"> zapewnia wyższą skuteczność kolonizacji jelita przez bakterie, większą odporność na działanie czynników zewnętrznych oraz pozwala na wydłużenie okresu stabilności produktu.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  <w:color w:val="000000"/>
        </w:rPr>
      </w:pPr>
      <w:r w:rsidRPr="001B52AB">
        <w:rPr>
          <w:rFonts w:ascii="Arial" w:eastAsia="Calibri" w:hAnsi="Arial" w:cs="Arial"/>
          <w:b/>
        </w:rPr>
        <w:t>Odp.</w:t>
      </w:r>
      <w:r>
        <w:rPr>
          <w:rFonts w:ascii="Arial" w:eastAsia="Calibri" w:hAnsi="Arial" w:cs="Arial"/>
        </w:rPr>
        <w:t xml:space="preserve"> Zamawiając</w:t>
      </w:r>
      <w:r w:rsidR="005D25AC">
        <w:rPr>
          <w:rFonts w:ascii="Arial" w:eastAsia="Calibri" w:hAnsi="Arial" w:cs="Arial"/>
        </w:rPr>
        <w:t>y nie dopuszcza, zgodnie z SIWZ !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  <w:color w:val="000000"/>
        </w:rPr>
      </w:pPr>
    </w:p>
    <w:p w:rsidR="00A53EAE" w:rsidRDefault="00A53EAE" w:rsidP="00B554F7">
      <w:pPr>
        <w:spacing w:after="0"/>
        <w:rPr>
          <w:rFonts w:ascii="Arial" w:eastAsia="Calibri" w:hAnsi="Arial" w:cs="Arial"/>
          <w:b/>
          <w:u w:val="single"/>
        </w:rPr>
      </w:pPr>
      <w:r w:rsidRPr="00A53EAE">
        <w:rPr>
          <w:rFonts w:ascii="Arial" w:eastAsia="Calibri" w:hAnsi="Arial" w:cs="Arial"/>
          <w:b/>
          <w:u w:val="single"/>
        </w:rPr>
        <w:t>27 Pytanie</w:t>
      </w:r>
    </w:p>
    <w:p w:rsidR="00A53EAE" w:rsidRPr="00A53EAE" w:rsidRDefault="00A53EAE" w:rsidP="00B554F7">
      <w:pPr>
        <w:spacing w:after="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Pakiet</w:t>
      </w:r>
      <w:r w:rsidRPr="00A53EAE">
        <w:rPr>
          <w:rFonts w:ascii="Arial" w:eastAsia="Calibri" w:hAnsi="Arial" w:cs="Arial"/>
          <w:u w:val="single"/>
        </w:rPr>
        <w:t xml:space="preserve"> 13 poz. 51 </w:t>
      </w:r>
    </w:p>
    <w:p w:rsidR="00E832C3" w:rsidRDefault="00E832C3" w:rsidP="00B554F7">
      <w:pPr>
        <w:spacing w:after="0"/>
        <w:ind w:left="360"/>
        <w:rPr>
          <w:rFonts w:ascii="Arial" w:eastAsia="Calibri" w:hAnsi="Arial" w:cs="Arial"/>
        </w:rPr>
      </w:pPr>
      <w:r w:rsidRPr="00A53EAE">
        <w:rPr>
          <w:rFonts w:ascii="Arial" w:eastAsia="Calibri" w:hAnsi="Arial" w:cs="Arial"/>
        </w:rPr>
        <w:t xml:space="preserve">Czy Zamawiający dopuści zaoferowanie produktu </w:t>
      </w:r>
      <w:proofErr w:type="spellStart"/>
      <w:r w:rsidRPr="00A53EAE">
        <w:rPr>
          <w:rFonts w:ascii="Arial" w:eastAsia="Calibri" w:hAnsi="Arial" w:cs="Arial"/>
        </w:rPr>
        <w:t>EncapsaDr</w:t>
      </w:r>
      <w:proofErr w:type="spellEnd"/>
      <w:r w:rsidRPr="00A53EAE">
        <w:rPr>
          <w:rFonts w:ascii="Arial" w:eastAsia="Calibri" w:hAnsi="Arial" w:cs="Arial"/>
        </w:rPr>
        <w:t xml:space="preserve">, będącego suplementem diety, zawierającego żywe, </w:t>
      </w:r>
      <w:proofErr w:type="spellStart"/>
      <w:r w:rsidRPr="00A53EAE">
        <w:rPr>
          <w:rFonts w:ascii="Arial" w:eastAsia="Calibri" w:hAnsi="Arial" w:cs="Arial"/>
        </w:rPr>
        <w:t>mikroenkapsulowane</w:t>
      </w:r>
      <w:proofErr w:type="spellEnd"/>
      <w:r w:rsidRPr="00A53EAE">
        <w:rPr>
          <w:rFonts w:ascii="Arial" w:eastAsia="Calibri" w:hAnsi="Arial" w:cs="Arial"/>
        </w:rPr>
        <w:t xml:space="preserve"> bakterie </w:t>
      </w:r>
      <w:proofErr w:type="spellStart"/>
      <w:r w:rsidRPr="00A53EAE">
        <w:rPr>
          <w:rFonts w:ascii="Arial" w:eastAsia="Calibri" w:hAnsi="Arial" w:cs="Arial"/>
        </w:rPr>
        <w:t>probiotyczne</w:t>
      </w:r>
      <w:proofErr w:type="spellEnd"/>
      <w:r w:rsidRPr="00A53EAE">
        <w:rPr>
          <w:rFonts w:ascii="Arial" w:eastAsia="Calibri" w:hAnsi="Arial" w:cs="Arial"/>
        </w:rPr>
        <w:t xml:space="preserve"> szczepu bakterii </w:t>
      </w:r>
      <w:proofErr w:type="spellStart"/>
      <w:r w:rsidRPr="00A53EAE">
        <w:rPr>
          <w:rFonts w:ascii="Arial" w:eastAsia="Calibri" w:hAnsi="Arial" w:cs="Arial"/>
        </w:rPr>
        <w:t>probiotycznych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Lactobacillus</w:t>
      </w:r>
      <w:proofErr w:type="spellEnd"/>
      <w:r w:rsidRPr="00A53EAE">
        <w:rPr>
          <w:rFonts w:ascii="Arial" w:eastAsia="Calibri" w:hAnsi="Arial" w:cs="Arial"/>
        </w:rPr>
        <w:t xml:space="preserve"> </w:t>
      </w:r>
      <w:proofErr w:type="spellStart"/>
      <w:r w:rsidRPr="00A53EAE">
        <w:rPr>
          <w:rFonts w:ascii="Arial" w:eastAsia="Calibri" w:hAnsi="Arial" w:cs="Arial"/>
        </w:rPr>
        <w:t>rhamnosus</w:t>
      </w:r>
      <w:proofErr w:type="spellEnd"/>
      <w:r w:rsidRPr="00A53EAE">
        <w:rPr>
          <w:rFonts w:ascii="Arial" w:eastAsia="Calibri" w:hAnsi="Arial" w:cs="Arial"/>
        </w:rPr>
        <w:t xml:space="preserve"> GG ATTC53103 (stężenie żywych kultur </w:t>
      </w:r>
      <w:proofErr w:type="spellStart"/>
      <w:r w:rsidRPr="00A53EAE">
        <w:rPr>
          <w:rFonts w:ascii="Arial" w:eastAsia="Calibri" w:hAnsi="Arial" w:cs="Arial"/>
        </w:rPr>
        <w:t>mikroenkapsulowanych</w:t>
      </w:r>
      <w:proofErr w:type="spellEnd"/>
      <w:r w:rsidRPr="00A53EAE">
        <w:rPr>
          <w:rFonts w:ascii="Arial" w:eastAsia="Calibri" w:hAnsi="Arial" w:cs="Arial"/>
        </w:rPr>
        <w:t xml:space="preserve"> bakterii wynosi 1,2 mld CFU/ kapsułkę – badania naukowe dowodzą, że odpowiada ono skuteczności 6 mld bakterii liofilizowanych); konfekcjonowanego w opakowaniach po 20 kapsułek? Technika </w:t>
      </w:r>
      <w:proofErr w:type="spellStart"/>
      <w:r w:rsidRPr="00A53EAE">
        <w:rPr>
          <w:rFonts w:ascii="Arial" w:eastAsia="Calibri" w:hAnsi="Arial" w:cs="Arial"/>
        </w:rPr>
        <w:t>mikroenkapsulacji</w:t>
      </w:r>
      <w:proofErr w:type="spellEnd"/>
      <w:r w:rsidRPr="00A53EAE">
        <w:rPr>
          <w:rFonts w:ascii="Arial" w:eastAsia="Calibri" w:hAnsi="Arial" w:cs="Arial"/>
        </w:rPr>
        <w:t xml:space="preserve"> zapewnia wyższą skuteczność kolonizacji jelita przez bakterie, większą odporność na </w:t>
      </w:r>
      <w:r w:rsidRPr="00A53EAE">
        <w:rPr>
          <w:rFonts w:ascii="Arial" w:eastAsia="Calibri" w:hAnsi="Arial" w:cs="Arial"/>
        </w:rPr>
        <w:lastRenderedPageBreak/>
        <w:t>działanie czynników zewnętrznych oraz pozwala na wydłużenie okresu stabilności produktu.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  <w:color w:val="000000"/>
        </w:rPr>
      </w:pPr>
      <w:r w:rsidRPr="001B52AB">
        <w:rPr>
          <w:rFonts w:ascii="Arial" w:eastAsia="Calibri" w:hAnsi="Arial" w:cs="Arial"/>
          <w:b/>
        </w:rPr>
        <w:t>Odp.</w:t>
      </w:r>
      <w:r>
        <w:rPr>
          <w:rFonts w:ascii="Arial" w:eastAsia="Calibri" w:hAnsi="Arial" w:cs="Arial"/>
        </w:rPr>
        <w:t xml:space="preserve"> Zamawiający nie dopuszcza, zgodnie z SIWZ.</w:t>
      </w:r>
    </w:p>
    <w:p w:rsidR="001B52AB" w:rsidRPr="00A53EAE" w:rsidRDefault="001B52AB" w:rsidP="001B52AB">
      <w:pPr>
        <w:spacing w:after="0"/>
        <w:rPr>
          <w:rFonts w:ascii="Arial" w:eastAsia="Calibri" w:hAnsi="Arial" w:cs="Arial"/>
        </w:rPr>
      </w:pPr>
    </w:p>
    <w:p w:rsidR="00A53EAE" w:rsidRPr="00A53EAE" w:rsidRDefault="00A53EAE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A53EAE">
        <w:rPr>
          <w:rFonts w:ascii="Arial" w:hAnsi="Arial" w:cs="Arial"/>
          <w:b/>
          <w:bCs/>
          <w:iCs/>
          <w:u w:val="single"/>
        </w:rPr>
        <w:t xml:space="preserve">28 </w:t>
      </w:r>
      <w:r w:rsidR="00E832C3" w:rsidRPr="00A53EAE">
        <w:rPr>
          <w:rFonts w:ascii="Arial" w:hAnsi="Arial" w:cs="Arial"/>
          <w:b/>
          <w:bCs/>
          <w:iCs/>
          <w:u w:val="single"/>
        </w:rPr>
        <w:t xml:space="preserve">Pytanie </w:t>
      </w:r>
    </w:p>
    <w:p w:rsidR="00E832C3" w:rsidRPr="00A53EAE" w:rsidRDefault="00E832C3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</w:rPr>
      </w:pPr>
      <w:r w:rsidRPr="00A53EAE">
        <w:rPr>
          <w:rFonts w:ascii="Arial" w:hAnsi="Arial" w:cs="Arial"/>
          <w:b/>
          <w:bCs/>
          <w:iCs/>
        </w:rPr>
        <w:t xml:space="preserve"> </w:t>
      </w:r>
      <w:r w:rsidRPr="00A53EAE">
        <w:rPr>
          <w:rFonts w:ascii="Arial" w:hAnsi="Arial" w:cs="Arial"/>
          <w:bCs/>
          <w:iCs/>
          <w:u w:val="single"/>
        </w:rPr>
        <w:t xml:space="preserve">dotyczy </w:t>
      </w:r>
      <w:r w:rsidRPr="00A53EAE">
        <w:rPr>
          <w:rFonts w:ascii="Arial" w:hAnsi="Arial" w:cs="Arial"/>
          <w:bCs/>
          <w:u w:val="single"/>
        </w:rPr>
        <w:t>Pakietu 15, poz. 48</w:t>
      </w:r>
    </w:p>
    <w:p w:rsidR="00E832C3" w:rsidRDefault="00E832C3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A53EAE">
        <w:rPr>
          <w:rFonts w:ascii="Arial" w:hAnsi="Arial" w:cs="Arial"/>
        </w:rPr>
        <w:t xml:space="preserve">Czy Zamawiający wyrazi zgodę na zaoferowanie </w:t>
      </w:r>
      <w:r w:rsidRPr="00A53EAE">
        <w:rPr>
          <w:rFonts w:ascii="Arial" w:hAnsi="Arial" w:cs="Arial"/>
          <w:b/>
          <w:bCs/>
          <w:iCs/>
          <w:u w:val="single"/>
        </w:rPr>
        <w:t>produktu równoważnego</w:t>
      </w:r>
      <w:r w:rsidRPr="00A53EAE">
        <w:rPr>
          <w:rFonts w:ascii="Arial" w:hAnsi="Arial" w:cs="Arial"/>
          <w:bCs/>
          <w:iCs/>
        </w:rPr>
        <w:t xml:space="preserve">  &lt;LIDOCAINE H/CHL. + CHLORHEXIDINUM GLUCONICUM </w:t>
      </w:r>
      <w:proofErr w:type="spellStart"/>
      <w:r w:rsidRPr="00A53EAE">
        <w:rPr>
          <w:rFonts w:ascii="Arial" w:hAnsi="Arial" w:cs="Arial"/>
          <w:bCs/>
          <w:iCs/>
        </w:rPr>
        <w:t>soln</w:t>
      </w:r>
      <w:proofErr w:type="spellEnd"/>
      <w:r w:rsidRPr="00A53EAE">
        <w:rPr>
          <w:rFonts w:ascii="Arial" w:hAnsi="Arial" w:cs="Arial"/>
          <w:bCs/>
          <w:iCs/>
        </w:rPr>
        <w:t xml:space="preserve">. 20% + HYDROXYBENZOESAN METYLU+HYDROXYBENZOESAN PROPYLU 2g + 0,25g + 0,06g+ 0,025g / 100g&gt; w wygodnych ampułkostrzykawkach z podziałką </w:t>
      </w:r>
      <w:r w:rsidRPr="00A53EAE">
        <w:rPr>
          <w:rFonts w:ascii="Arial" w:hAnsi="Arial" w:cs="Arial"/>
          <w:b/>
          <w:bCs/>
          <w:iCs/>
          <w:u w:val="single"/>
        </w:rPr>
        <w:t>o pojemności 6ml (7g)?</w:t>
      </w:r>
    </w:p>
    <w:p w:rsidR="001B52AB" w:rsidRPr="00A53EAE" w:rsidRDefault="001B52AB" w:rsidP="005D25AC">
      <w:pPr>
        <w:spacing w:after="0" w:line="240" w:lineRule="auto"/>
        <w:rPr>
          <w:rFonts w:ascii="Arial" w:eastAsia="Calibri" w:hAnsi="Arial" w:cs="Arial"/>
          <w:color w:val="000000"/>
        </w:rPr>
      </w:pPr>
      <w:r w:rsidRPr="001B52AB">
        <w:rPr>
          <w:rFonts w:ascii="Arial" w:eastAsia="Calibri" w:hAnsi="Arial" w:cs="Arial"/>
          <w:b/>
        </w:rPr>
        <w:t>Odp.</w:t>
      </w:r>
      <w:r>
        <w:rPr>
          <w:rFonts w:ascii="Arial" w:eastAsia="Calibri" w:hAnsi="Arial" w:cs="Arial"/>
        </w:rPr>
        <w:t xml:space="preserve"> Zamawiający nie </w:t>
      </w:r>
      <w:r w:rsidR="005D25AC">
        <w:rPr>
          <w:rFonts w:ascii="Arial" w:eastAsia="Calibri" w:hAnsi="Arial" w:cs="Arial"/>
        </w:rPr>
        <w:t>wyraża zgody</w:t>
      </w:r>
      <w:r>
        <w:rPr>
          <w:rFonts w:ascii="Arial" w:eastAsia="Calibri" w:hAnsi="Arial" w:cs="Arial"/>
        </w:rPr>
        <w:t>, zgodnie z SIWZ.</w:t>
      </w:r>
    </w:p>
    <w:p w:rsidR="001B52AB" w:rsidRPr="00A53EAE" w:rsidRDefault="001B52AB" w:rsidP="005D25AC">
      <w:pPr>
        <w:spacing w:after="0" w:line="240" w:lineRule="auto"/>
        <w:rPr>
          <w:rFonts w:ascii="Arial" w:hAnsi="Arial" w:cs="Arial"/>
          <w:b/>
          <w:bCs/>
          <w:iCs/>
          <w:u w:val="single"/>
        </w:rPr>
      </w:pPr>
    </w:p>
    <w:p w:rsidR="00A53EAE" w:rsidRDefault="00A53EAE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A53EAE">
        <w:rPr>
          <w:rFonts w:ascii="Arial" w:hAnsi="Arial" w:cs="Arial"/>
          <w:b/>
          <w:bCs/>
          <w:iCs/>
          <w:u w:val="single"/>
        </w:rPr>
        <w:t>29</w:t>
      </w:r>
      <w:r>
        <w:rPr>
          <w:rFonts w:ascii="Arial" w:hAnsi="Arial" w:cs="Arial"/>
          <w:b/>
          <w:bCs/>
          <w:iCs/>
          <w:u w:val="single"/>
        </w:rPr>
        <w:t xml:space="preserve"> </w:t>
      </w:r>
      <w:r w:rsidR="00E832C3" w:rsidRPr="00A53EAE">
        <w:rPr>
          <w:rFonts w:ascii="Arial" w:hAnsi="Arial" w:cs="Arial"/>
          <w:b/>
          <w:bCs/>
          <w:iCs/>
          <w:u w:val="single"/>
        </w:rPr>
        <w:t xml:space="preserve">Pytanie </w:t>
      </w:r>
    </w:p>
    <w:p w:rsidR="00E832C3" w:rsidRPr="00A53EAE" w:rsidRDefault="00E832C3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</w:rPr>
      </w:pPr>
      <w:r w:rsidRPr="00A53EAE">
        <w:rPr>
          <w:rFonts w:ascii="Arial" w:hAnsi="Arial" w:cs="Arial"/>
          <w:b/>
          <w:bCs/>
          <w:iCs/>
        </w:rPr>
        <w:t xml:space="preserve"> </w:t>
      </w:r>
      <w:r w:rsidRPr="00A53EAE">
        <w:rPr>
          <w:rFonts w:ascii="Arial" w:hAnsi="Arial" w:cs="Arial"/>
          <w:bCs/>
          <w:iCs/>
          <w:u w:val="single"/>
        </w:rPr>
        <w:t xml:space="preserve">dotyczy </w:t>
      </w:r>
      <w:r w:rsidRPr="00A53EAE">
        <w:rPr>
          <w:rFonts w:ascii="Arial" w:hAnsi="Arial" w:cs="Arial"/>
          <w:bCs/>
          <w:u w:val="single"/>
        </w:rPr>
        <w:t>Pakietu 3, poz. 13, 14</w:t>
      </w:r>
    </w:p>
    <w:p w:rsidR="00E832C3" w:rsidRDefault="00E832C3" w:rsidP="005D2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A53EAE">
        <w:rPr>
          <w:rFonts w:ascii="Arial" w:hAnsi="Arial" w:cs="Arial"/>
        </w:rPr>
        <w:t xml:space="preserve">Czy Zamawiający wyrazi zgodę na zaoferowanie </w:t>
      </w:r>
      <w:r w:rsidRPr="00A53EAE">
        <w:rPr>
          <w:rFonts w:ascii="Arial" w:hAnsi="Arial" w:cs="Arial"/>
          <w:b/>
          <w:bCs/>
          <w:iCs/>
          <w:u w:val="single"/>
        </w:rPr>
        <w:t>produktu równoważnego,</w:t>
      </w:r>
      <w:r w:rsidRPr="00A53EAE">
        <w:rPr>
          <w:rFonts w:ascii="Arial" w:hAnsi="Arial" w:cs="Arial"/>
          <w:bCs/>
          <w:iCs/>
        </w:rPr>
        <w:t xml:space="preserve"> w wygodnych ampułkostrzykawkach z podziałką </w:t>
      </w:r>
      <w:r w:rsidRPr="00A53EAE">
        <w:rPr>
          <w:rFonts w:ascii="Arial" w:hAnsi="Arial" w:cs="Arial"/>
          <w:b/>
          <w:bCs/>
          <w:iCs/>
          <w:u w:val="single"/>
        </w:rPr>
        <w:t>o pojemności 6ml (7g) w pozycji 13 oraz o poj</w:t>
      </w:r>
      <w:r w:rsidR="001B52AB">
        <w:rPr>
          <w:rFonts w:ascii="Arial" w:hAnsi="Arial" w:cs="Arial"/>
          <w:b/>
          <w:bCs/>
          <w:iCs/>
          <w:u w:val="single"/>
        </w:rPr>
        <w:t>emności 11ml (13g) w pozycji 14?</w:t>
      </w:r>
    </w:p>
    <w:p w:rsidR="00E832C3" w:rsidRDefault="001B52AB" w:rsidP="005D25AC">
      <w:pPr>
        <w:spacing w:after="0" w:line="240" w:lineRule="auto"/>
        <w:rPr>
          <w:rFonts w:ascii="Arial" w:eastAsia="Calibri" w:hAnsi="Arial" w:cs="Arial"/>
        </w:rPr>
      </w:pPr>
      <w:r w:rsidRPr="001B52AB">
        <w:rPr>
          <w:rFonts w:ascii="Arial" w:eastAsia="Calibri" w:hAnsi="Arial" w:cs="Arial"/>
          <w:b/>
        </w:rPr>
        <w:t>Odp</w:t>
      </w:r>
      <w:r w:rsidR="005D25AC" w:rsidRPr="001B52AB">
        <w:rPr>
          <w:rFonts w:ascii="Arial" w:eastAsia="Calibri" w:hAnsi="Arial" w:cs="Arial"/>
          <w:b/>
        </w:rPr>
        <w:t>.</w:t>
      </w:r>
      <w:r w:rsidR="005D25AC">
        <w:rPr>
          <w:rFonts w:ascii="Arial" w:eastAsia="Calibri" w:hAnsi="Arial" w:cs="Arial"/>
        </w:rPr>
        <w:t xml:space="preserve"> Zamawiający nie wyraża zgody, zgodnie z SIWZ.</w:t>
      </w:r>
    </w:p>
    <w:p w:rsidR="005D25AC" w:rsidRDefault="005D25AC" w:rsidP="005D25AC">
      <w:pPr>
        <w:spacing w:after="0" w:line="240" w:lineRule="auto"/>
        <w:rPr>
          <w:rFonts w:ascii="Arial" w:eastAsia="Calibri" w:hAnsi="Arial" w:cs="Arial"/>
        </w:rPr>
      </w:pPr>
    </w:p>
    <w:p w:rsidR="005D25AC" w:rsidRPr="005D25AC" w:rsidRDefault="005D25AC" w:rsidP="005D25AC">
      <w:pPr>
        <w:suppressAutoHyphens/>
        <w:spacing w:after="0" w:line="240" w:lineRule="auto"/>
        <w:ind w:firstLine="360"/>
        <w:rPr>
          <w:rFonts w:ascii="Arial" w:eastAsia="Times New Roman" w:hAnsi="Arial" w:cs="Arial"/>
          <w:bCs/>
          <w:color w:val="000000"/>
          <w:spacing w:val="3"/>
          <w:lang w:eastAsia="ar-SA"/>
        </w:rPr>
      </w:pPr>
      <w:r w:rsidRPr="005D25AC">
        <w:rPr>
          <w:rFonts w:ascii="Times New Roman" w:eastAsia="Times New Roman" w:hAnsi="Times New Roman" w:cs="Times New Roman"/>
          <w:b/>
          <w:lang w:eastAsia="ar-SA"/>
        </w:rPr>
        <w:t xml:space="preserve">        </w:t>
      </w:r>
      <w:r w:rsidRPr="005D25AC">
        <w:rPr>
          <w:rFonts w:ascii="Arial" w:eastAsia="Times New Roman" w:hAnsi="Arial" w:cs="Arial"/>
          <w:lang w:eastAsia="ar-SA"/>
        </w:rPr>
        <w:t>Niniejsza odpowiedź została udzielona na mocy art.38 ust.1-6 ustawy Prawo Zamówień Publicznych z dnia 29 stycznia 2004 roku (Dz. U. z 201</w:t>
      </w:r>
      <w:r>
        <w:rPr>
          <w:rFonts w:ascii="Arial" w:eastAsia="Times New Roman" w:hAnsi="Arial" w:cs="Arial"/>
          <w:lang w:eastAsia="ar-SA"/>
        </w:rPr>
        <w:t>7</w:t>
      </w:r>
      <w:r w:rsidRPr="005D25AC">
        <w:rPr>
          <w:rFonts w:ascii="Arial" w:eastAsia="Times New Roman" w:hAnsi="Arial" w:cs="Arial"/>
          <w:lang w:eastAsia="ar-SA"/>
        </w:rPr>
        <w:t xml:space="preserve"> r.  poz. </w:t>
      </w:r>
      <w:r>
        <w:rPr>
          <w:rFonts w:ascii="Arial" w:eastAsia="Times New Roman" w:hAnsi="Arial" w:cs="Arial"/>
          <w:lang w:eastAsia="ar-SA"/>
        </w:rPr>
        <w:t>1579</w:t>
      </w:r>
      <w:bookmarkStart w:id="2" w:name="_GoBack"/>
      <w:bookmarkEnd w:id="2"/>
      <w:r w:rsidRPr="005D25AC">
        <w:rPr>
          <w:rFonts w:ascii="Arial" w:eastAsia="Times New Roman" w:hAnsi="Arial" w:cs="Arial"/>
          <w:lang w:eastAsia="ar-SA"/>
        </w:rPr>
        <w:t xml:space="preserve"> )    </w:t>
      </w:r>
    </w:p>
    <w:p w:rsidR="005D25AC" w:rsidRPr="005D25AC" w:rsidRDefault="005D25AC" w:rsidP="005D25AC">
      <w:pPr>
        <w:spacing w:after="0" w:line="240" w:lineRule="auto"/>
        <w:rPr>
          <w:rFonts w:ascii="Arial" w:hAnsi="Arial" w:cs="Arial"/>
          <w:bCs/>
          <w:iCs/>
        </w:rPr>
      </w:pPr>
    </w:p>
    <w:p w:rsidR="00E832C3" w:rsidRDefault="00E832C3" w:rsidP="005D25AC">
      <w:pPr>
        <w:spacing w:line="240" w:lineRule="auto"/>
        <w:rPr>
          <w:rFonts w:ascii="Arial" w:eastAsia="Calibri" w:hAnsi="Arial" w:cs="Arial"/>
        </w:rPr>
      </w:pPr>
    </w:p>
    <w:p w:rsidR="005D25AC" w:rsidRDefault="005D25AC" w:rsidP="005D25AC">
      <w:pPr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Zamawiający</w:t>
      </w:r>
    </w:p>
    <w:p w:rsidR="005D25AC" w:rsidRDefault="005D25AC" w:rsidP="005D25AC">
      <w:pPr>
        <w:spacing w:line="240" w:lineRule="auto"/>
        <w:rPr>
          <w:rFonts w:ascii="Arial" w:eastAsia="Calibri" w:hAnsi="Arial" w:cs="Arial"/>
        </w:rPr>
      </w:pPr>
    </w:p>
    <w:p w:rsidR="005D25AC" w:rsidRPr="00A53EAE" w:rsidRDefault="005D25AC" w:rsidP="005D25AC">
      <w:pPr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………………………………….</w:t>
      </w:r>
    </w:p>
    <w:p w:rsidR="00E832C3" w:rsidRPr="00A53EAE" w:rsidRDefault="00E832C3" w:rsidP="00E832C3">
      <w:pPr>
        <w:ind w:left="1080"/>
        <w:rPr>
          <w:rFonts w:ascii="Arial" w:eastAsia="Calibri" w:hAnsi="Arial" w:cs="Arial"/>
          <w:color w:val="000000"/>
        </w:rPr>
      </w:pPr>
    </w:p>
    <w:p w:rsidR="000D044B" w:rsidRPr="00A53EAE" w:rsidRDefault="000D044B" w:rsidP="000D044B">
      <w:pPr>
        <w:spacing w:before="120" w:after="120"/>
        <w:contextualSpacing/>
        <w:jc w:val="both"/>
        <w:rPr>
          <w:rFonts w:ascii="Arial" w:hAnsi="Arial" w:cs="Arial"/>
        </w:rPr>
      </w:pPr>
    </w:p>
    <w:p w:rsidR="007636EA" w:rsidRPr="00A53EAE" w:rsidRDefault="007636EA" w:rsidP="003E1A3C">
      <w:pPr>
        <w:tabs>
          <w:tab w:val="left" w:pos="567"/>
          <w:tab w:val="left" w:pos="851"/>
        </w:tabs>
        <w:rPr>
          <w:rFonts w:ascii="Arial" w:eastAsia="Times New Roman" w:hAnsi="Arial" w:cs="Arial"/>
        </w:rPr>
      </w:pPr>
    </w:p>
    <w:sectPr w:rsidR="007636EA" w:rsidRPr="00A53E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36" w:rsidRDefault="00317A36" w:rsidP="003D48E0">
      <w:pPr>
        <w:spacing w:after="0" w:line="240" w:lineRule="auto"/>
      </w:pPr>
      <w:r>
        <w:separator/>
      </w:r>
    </w:p>
  </w:endnote>
  <w:endnote w:type="continuationSeparator" w:id="0">
    <w:p w:rsidR="00317A36" w:rsidRDefault="00317A36" w:rsidP="003D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729710"/>
      <w:docPartObj>
        <w:docPartGallery w:val="Page Numbers (Bottom of Page)"/>
        <w:docPartUnique/>
      </w:docPartObj>
    </w:sdtPr>
    <w:sdtEndPr/>
    <w:sdtContent>
      <w:p w:rsidR="003D48E0" w:rsidRDefault="003D4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5AC">
          <w:rPr>
            <w:noProof/>
          </w:rPr>
          <w:t>7</w:t>
        </w:r>
        <w:r>
          <w:fldChar w:fldCharType="end"/>
        </w:r>
      </w:p>
    </w:sdtContent>
  </w:sdt>
  <w:p w:rsidR="003D48E0" w:rsidRDefault="003D48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36" w:rsidRDefault="00317A36" w:rsidP="003D48E0">
      <w:pPr>
        <w:spacing w:after="0" w:line="240" w:lineRule="auto"/>
      </w:pPr>
      <w:r>
        <w:separator/>
      </w:r>
    </w:p>
  </w:footnote>
  <w:footnote w:type="continuationSeparator" w:id="0">
    <w:p w:rsidR="00317A36" w:rsidRDefault="00317A36" w:rsidP="003D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E0" w:rsidRDefault="003D48E0">
    <w:pPr>
      <w:pStyle w:val="Nagwek"/>
    </w:pPr>
    <w:r>
      <w:t>SPZOZ.EPII.23.22.2018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C74"/>
    <w:multiLevelType w:val="hybridMultilevel"/>
    <w:tmpl w:val="83F8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9458D"/>
    <w:multiLevelType w:val="hybridMultilevel"/>
    <w:tmpl w:val="D16E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21BD"/>
    <w:multiLevelType w:val="hybridMultilevel"/>
    <w:tmpl w:val="07604CA2"/>
    <w:lvl w:ilvl="0" w:tplc="4C0CD8AA">
      <w:start w:val="1"/>
      <w:numFmt w:val="decimal"/>
      <w:lvlText w:val="%1.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14276"/>
    <w:multiLevelType w:val="hybridMultilevel"/>
    <w:tmpl w:val="D4BE137C"/>
    <w:lvl w:ilvl="0" w:tplc="D97CF0D2">
      <w:start w:val="29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A7DE8"/>
    <w:multiLevelType w:val="hybridMultilevel"/>
    <w:tmpl w:val="E3748588"/>
    <w:lvl w:ilvl="0" w:tplc="D97CF0D2">
      <w:start w:val="29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4316F"/>
    <w:multiLevelType w:val="hybridMultilevel"/>
    <w:tmpl w:val="28D61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22C2CDC"/>
    <w:multiLevelType w:val="hybridMultilevel"/>
    <w:tmpl w:val="28A6BC8A"/>
    <w:lvl w:ilvl="0" w:tplc="5B12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7001EA"/>
    <w:multiLevelType w:val="hybridMultilevel"/>
    <w:tmpl w:val="0B6CA4DA"/>
    <w:lvl w:ilvl="0" w:tplc="62420F8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3D1608"/>
    <w:multiLevelType w:val="hybridMultilevel"/>
    <w:tmpl w:val="85D49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A05E9"/>
    <w:multiLevelType w:val="hybridMultilevel"/>
    <w:tmpl w:val="E5209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A7"/>
    <w:rsid w:val="000D044B"/>
    <w:rsid w:val="000E1442"/>
    <w:rsid w:val="00174CC3"/>
    <w:rsid w:val="001B52AB"/>
    <w:rsid w:val="00263221"/>
    <w:rsid w:val="002C2885"/>
    <w:rsid w:val="002D37E7"/>
    <w:rsid w:val="002F16FA"/>
    <w:rsid w:val="00304508"/>
    <w:rsid w:val="00317A36"/>
    <w:rsid w:val="00330B5F"/>
    <w:rsid w:val="00366DE7"/>
    <w:rsid w:val="003D48E0"/>
    <w:rsid w:val="003E1A3C"/>
    <w:rsid w:val="004D3EF6"/>
    <w:rsid w:val="005A61B9"/>
    <w:rsid w:val="005D25AC"/>
    <w:rsid w:val="006023F6"/>
    <w:rsid w:val="006713B1"/>
    <w:rsid w:val="006A6086"/>
    <w:rsid w:val="007636EA"/>
    <w:rsid w:val="007C09A7"/>
    <w:rsid w:val="00893BD5"/>
    <w:rsid w:val="00944836"/>
    <w:rsid w:val="0095062B"/>
    <w:rsid w:val="00A43F2F"/>
    <w:rsid w:val="00A53EAE"/>
    <w:rsid w:val="00B554F7"/>
    <w:rsid w:val="00BB0152"/>
    <w:rsid w:val="00D4045C"/>
    <w:rsid w:val="00DC157B"/>
    <w:rsid w:val="00E12A02"/>
    <w:rsid w:val="00E37B54"/>
    <w:rsid w:val="00E528E0"/>
    <w:rsid w:val="00E80825"/>
    <w:rsid w:val="00E832C3"/>
    <w:rsid w:val="00E84BA7"/>
    <w:rsid w:val="00F061D3"/>
    <w:rsid w:val="00FA2E0D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7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6"/>
      <w:szCs w:val="24"/>
      <w:lang w:eastAsia="pl-PL"/>
    </w:rPr>
  </w:style>
  <w:style w:type="paragraph" w:customStyle="1" w:styleId="s14">
    <w:name w:val="s14"/>
    <w:basedOn w:val="Normalny"/>
    <w:rsid w:val="006713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6713B1"/>
  </w:style>
  <w:style w:type="paragraph" w:customStyle="1" w:styleId="ZnakZnak1Znak">
    <w:name w:val="Znak Znak1 Znak"/>
    <w:basedOn w:val="Normalny"/>
    <w:rsid w:val="006023F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8E0"/>
  </w:style>
  <w:style w:type="paragraph" w:styleId="Stopka">
    <w:name w:val="footer"/>
    <w:basedOn w:val="Normalny"/>
    <w:link w:val="StopkaZnak"/>
    <w:uiPriority w:val="99"/>
    <w:unhideWhenUsed/>
    <w:rsid w:val="003D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7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6"/>
      <w:szCs w:val="24"/>
      <w:lang w:eastAsia="pl-PL"/>
    </w:rPr>
  </w:style>
  <w:style w:type="paragraph" w:customStyle="1" w:styleId="s14">
    <w:name w:val="s14"/>
    <w:basedOn w:val="Normalny"/>
    <w:rsid w:val="006713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6713B1"/>
  </w:style>
  <w:style w:type="paragraph" w:customStyle="1" w:styleId="ZnakZnak1Znak">
    <w:name w:val="Znak Znak1 Znak"/>
    <w:basedOn w:val="Normalny"/>
    <w:rsid w:val="006023F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8E0"/>
  </w:style>
  <w:style w:type="paragraph" w:styleId="Stopka">
    <w:name w:val="footer"/>
    <w:basedOn w:val="Normalny"/>
    <w:link w:val="StopkaZnak"/>
    <w:uiPriority w:val="99"/>
    <w:unhideWhenUsed/>
    <w:rsid w:val="003D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ABDE-BE36-4CF0-BCBE-55125B98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2443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dcterms:created xsi:type="dcterms:W3CDTF">2018-10-15T05:05:00Z</dcterms:created>
  <dcterms:modified xsi:type="dcterms:W3CDTF">2018-10-19T08:14:00Z</dcterms:modified>
</cp:coreProperties>
</file>