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C21" w:rsidRPr="00657C21" w:rsidRDefault="00657C21" w:rsidP="00657C21">
      <w:pPr>
        <w:widowControl w:val="0"/>
        <w:spacing w:after="0" w:line="240" w:lineRule="auto"/>
        <w:rPr>
          <w:rFonts w:ascii="Arial" w:eastAsia="Lucida Sans Unicode" w:hAnsi="Arial" w:cs="Arial"/>
          <w:lang w:eastAsia="hi-IN"/>
        </w:rPr>
      </w:pPr>
      <w:r w:rsidRPr="00657C21">
        <w:rPr>
          <w:rFonts w:ascii="Arial" w:eastAsia="Lucida Sans Unicode" w:hAnsi="Arial" w:cs="Arial"/>
          <w:lang w:eastAsia="hi-IN"/>
        </w:rPr>
        <w:t>SPZOZ.EPII.23.31.0.2017</w:t>
      </w:r>
    </w:p>
    <w:p w:rsidR="00657C21" w:rsidRPr="00657C21" w:rsidRDefault="008A25EE" w:rsidP="00657C21">
      <w:pPr>
        <w:widowControl w:val="0"/>
        <w:spacing w:after="0" w:line="100" w:lineRule="atLeast"/>
        <w:jc w:val="right"/>
        <w:rPr>
          <w:rFonts w:ascii="Arial" w:eastAsia="Lucida Sans Unicode" w:hAnsi="Arial" w:cs="Arial"/>
          <w:lang w:eastAsia="hi-IN"/>
        </w:rPr>
      </w:pPr>
      <w:r>
        <w:rPr>
          <w:rFonts w:ascii="Arial" w:eastAsia="Lucida Sans Unicode" w:hAnsi="Arial" w:cs="Arial"/>
          <w:lang w:eastAsia="hi-IN"/>
        </w:rPr>
        <w:t xml:space="preserve">  Kościan 20</w:t>
      </w:r>
      <w:bookmarkStart w:id="0" w:name="_GoBack"/>
      <w:bookmarkEnd w:id="0"/>
      <w:r w:rsidR="00657C21" w:rsidRPr="00657C21">
        <w:rPr>
          <w:rFonts w:ascii="Arial" w:eastAsia="Lucida Sans Unicode" w:hAnsi="Arial" w:cs="Arial"/>
          <w:lang w:eastAsia="hi-IN"/>
        </w:rPr>
        <w:t xml:space="preserve">.11.2017r </w:t>
      </w:r>
    </w:p>
    <w:p w:rsidR="00657C21" w:rsidRPr="00657C21" w:rsidRDefault="00657C21" w:rsidP="00657C21">
      <w:pPr>
        <w:widowControl w:val="0"/>
        <w:spacing w:after="0" w:line="100" w:lineRule="atLeast"/>
        <w:jc w:val="both"/>
        <w:rPr>
          <w:rFonts w:ascii="Arial" w:eastAsia="Lucida Sans Unicode" w:hAnsi="Arial" w:cs="Arial"/>
          <w:lang w:eastAsia="hi-IN"/>
        </w:rPr>
      </w:pPr>
      <w:r w:rsidRPr="00657C21">
        <w:rPr>
          <w:rFonts w:ascii="Arial" w:eastAsia="Lucida Sans Unicode" w:hAnsi="Arial" w:cs="Arial"/>
          <w:lang w:eastAsia="hi-IN"/>
        </w:rPr>
        <w:t>Zamawiający :</w:t>
      </w:r>
    </w:p>
    <w:p w:rsidR="00657C21" w:rsidRPr="00657C21" w:rsidRDefault="00657C21" w:rsidP="00657C21">
      <w:pPr>
        <w:widowControl w:val="0"/>
        <w:spacing w:after="0" w:line="100" w:lineRule="atLeast"/>
        <w:jc w:val="both"/>
        <w:rPr>
          <w:rFonts w:ascii="Arial" w:eastAsia="Lucida Sans Unicode" w:hAnsi="Arial" w:cs="Arial"/>
          <w:b/>
          <w:lang w:eastAsia="hi-IN"/>
        </w:rPr>
      </w:pPr>
      <w:r w:rsidRPr="00657C21">
        <w:rPr>
          <w:rFonts w:ascii="Arial" w:eastAsia="Lucida Sans Unicode" w:hAnsi="Arial" w:cs="Arial"/>
          <w:b/>
          <w:lang w:eastAsia="hi-IN"/>
        </w:rPr>
        <w:t>Samodzielny Publiczny Zespół</w:t>
      </w:r>
    </w:p>
    <w:p w:rsidR="00657C21" w:rsidRPr="00657C21" w:rsidRDefault="00657C21" w:rsidP="00657C21">
      <w:pPr>
        <w:widowControl w:val="0"/>
        <w:spacing w:after="0" w:line="100" w:lineRule="atLeast"/>
        <w:jc w:val="both"/>
        <w:rPr>
          <w:rFonts w:ascii="Arial" w:eastAsia="Lucida Sans Unicode" w:hAnsi="Arial" w:cs="Arial"/>
          <w:b/>
          <w:lang w:eastAsia="hi-IN"/>
        </w:rPr>
      </w:pPr>
      <w:r w:rsidRPr="00657C21">
        <w:rPr>
          <w:rFonts w:ascii="Arial" w:eastAsia="Lucida Sans Unicode" w:hAnsi="Arial" w:cs="Arial"/>
          <w:b/>
          <w:lang w:eastAsia="hi-IN"/>
        </w:rPr>
        <w:t xml:space="preserve">Opieki Zdrowotnej </w:t>
      </w:r>
    </w:p>
    <w:p w:rsidR="00657C21" w:rsidRPr="00657C21" w:rsidRDefault="00657C21" w:rsidP="00657C21">
      <w:pPr>
        <w:widowControl w:val="0"/>
        <w:spacing w:after="0" w:line="100" w:lineRule="atLeast"/>
        <w:jc w:val="both"/>
        <w:rPr>
          <w:rFonts w:ascii="Arial" w:eastAsia="Lucida Sans Unicode" w:hAnsi="Arial" w:cs="Arial"/>
          <w:b/>
          <w:lang w:eastAsia="hi-IN"/>
        </w:rPr>
      </w:pPr>
      <w:r w:rsidRPr="00657C21">
        <w:rPr>
          <w:rFonts w:ascii="Arial" w:eastAsia="Lucida Sans Unicode" w:hAnsi="Arial" w:cs="Arial"/>
          <w:b/>
          <w:lang w:eastAsia="hi-IN"/>
        </w:rPr>
        <w:t>w Kościanie</w:t>
      </w:r>
    </w:p>
    <w:p w:rsidR="00657C21" w:rsidRPr="00657C21" w:rsidRDefault="00657C21" w:rsidP="00657C21">
      <w:pPr>
        <w:widowControl w:val="0"/>
        <w:spacing w:after="0" w:line="100" w:lineRule="atLeast"/>
        <w:jc w:val="both"/>
        <w:rPr>
          <w:rFonts w:ascii="Arial" w:eastAsia="Lucida Sans Unicode" w:hAnsi="Arial" w:cs="Arial"/>
          <w:b/>
          <w:lang w:eastAsia="hi-IN"/>
        </w:rPr>
      </w:pPr>
      <w:r w:rsidRPr="00657C21">
        <w:rPr>
          <w:rFonts w:ascii="Arial" w:eastAsia="Lucida Sans Unicode" w:hAnsi="Arial" w:cs="Arial"/>
          <w:b/>
          <w:lang w:eastAsia="hi-IN"/>
        </w:rPr>
        <w:t>64-000 Kościan</w:t>
      </w:r>
    </w:p>
    <w:p w:rsidR="00657C21" w:rsidRPr="00657C21" w:rsidRDefault="00657C21" w:rsidP="00657C21">
      <w:pPr>
        <w:widowControl w:val="0"/>
        <w:spacing w:after="0" w:line="100" w:lineRule="atLeast"/>
        <w:jc w:val="both"/>
        <w:rPr>
          <w:rFonts w:ascii="Arial" w:eastAsia="Lucida Sans Unicode" w:hAnsi="Arial" w:cs="Arial"/>
          <w:b/>
          <w:lang w:eastAsia="hi-IN"/>
        </w:rPr>
      </w:pPr>
      <w:r w:rsidRPr="00657C21">
        <w:rPr>
          <w:rFonts w:ascii="Arial" w:eastAsia="Lucida Sans Unicode" w:hAnsi="Arial" w:cs="Arial"/>
          <w:b/>
          <w:lang w:eastAsia="hi-IN"/>
        </w:rPr>
        <w:t>Ul. Szpitalna 7</w:t>
      </w:r>
    </w:p>
    <w:p w:rsidR="00657C21" w:rsidRPr="00657C21" w:rsidRDefault="00657C21" w:rsidP="00657C21">
      <w:pPr>
        <w:widowControl w:val="0"/>
        <w:spacing w:after="0" w:line="100" w:lineRule="atLeast"/>
        <w:jc w:val="both"/>
        <w:rPr>
          <w:rFonts w:ascii="Arial" w:eastAsia="Lucida Sans Unicode" w:hAnsi="Arial" w:cs="Arial"/>
          <w:lang w:eastAsia="hi-IN"/>
        </w:rPr>
      </w:pPr>
      <w:r w:rsidRPr="00657C21">
        <w:rPr>
          <w:rFonts w:ascii="Arial" w:eastAsia="Lucida Sans Unicode" w:hAnsi="Arial" w:cs="Arial"/>
          <w:lang w:eastAsia="hi-IN"/>
        </w:rPr>
        <w:t>Fax : 0-65 512 -07 -07</w:t>
      </w:r>
    </w:p>
    <w:p w:rsidR="00657C21" w:rsidRPr="00657C21" w:rsidRDefault="00657C21" w:rsidP="00657C21">
      <w:pPr>
        <w:widowControl w:val="0"/>
        <w:spacing w:after="0" w:line="240" w:lineRule="auto"/>
        <w:rPr>
          <w:rFonts w:ascii="Arial" w:eastAsia="Lucida Sans Unicode" w:hAnsi="Arial" w:cs="Arial"/>
          <w:b/>
          <w:bCs/>
          <w:lang w:eastAsia="hi-IN"/>
        </w:rPr>
      </w:pPr>
    </w:p>
    <w:p w:rsidR="00657C21" w:rsidRPr="00657C21" w:rsidRDefault="00657C21" w:rsidP="00657C21">
      <w:pPr>
        <w:spacing w:after="160" w:line="259" w:lineRule="auto"/>
        <w:rPr>
          <w:rFonts w:ascii="Arial" w:eastAsiaTheme="minorEastAsia" w:hAnsi="Arial" w:cs="Arial"/>
          <w:b/>
          <w:lang w:eastAsia="pl-PL"/>
        </w:rPr>
      </w:pPr>
      <w:r w:rsidRPr="00657C21">
        <w:rPr>
          <w:rFonts w:ascii="Arial" w:eastAsiaTheme="minorEastAsia" w:hAnsi="Arial" w:cs="Arial"/>
          <w:lang w:eastAsia="pl-PL"/>
        </w:rPr>
        <w:t xml:space="preserve">                                                                                     </w:t>
      </w:r>
      <w:r w:rsidRPr="00657C21">
        <w:rPr>
          <w:rFonts w:ascii="Arial" w:eastAsiaTheme="minorEastAsia" w:hAnsi="Arial" w:cs="Arial"/>
          <w:b/>
          <w:lang w:eastAsia="pl-PL"/>
        </w:rPr>
        <w:t xml:space="preserve">Do    zainteresowanych </w:t>
      </w:r>
    </w:p>
    <w:p w:rsidR="00657C21" w:rsidRPr="00657C21" w:rsidRDefault="00657C21" w:rsidP="00657C21">
      <w:pPr>
        <w:spacing w:after="0" w:line="240" w:lineRule="auto"/>
        <w:rPr>
          <w:rFonts w:ascii="Arial" w:eastAsia="Times New Roman" w:hAnsi="Arial" w:cs="Arial"/>
        </w:rPr>
      </w:pPr>
      <w:r w:rsidRPr="00657C21">
        <w:rPr>
          <w:rFonts w:ascii="Arial" w:hAnsi="Arial" w:cs="Arial"/>
          <w:b/>
        </w:rPr>
        <w:t>Dotyczy:</w:t>
      </w:r>
      <w:r w:rsidRPr="00657C21">
        <w:rPr>
          <w:rFonts w:ascii="Arial" w:hAnsi="Arial" w:cs="Arial"/>
        </w:rPr>
        <w:t xml:space="preserve"> Postępowania o udzielenie zamówienia publicznego pn.</w:t>
      </w:r>
    </w:p>
    <w:p w:rsidR="00657C21" w:rsidRPr="00657C21" w:rsidRDefault="00657C21" w:rsidP="00657C21">
      <w:pPr>
        <w:widowControl w:val="0"/>
        <w:spacing w:after="0" w:line="240" w:lineRule="auto"/>
        <w:rPr>
          <w:rFonts w:ascii="Arial" w:eastAsia="SimSun" w:hAnsi="Arial" w:cs="Arial"/>
          <w:b/>
          <w:kern w:val="2"/>
          <w:u w:val="single"/>
          <w:lang w:eastAsia="hi-IN" w:bidi="hi-IN"/>
        </w:rPr>
      </w:pPr>
    </w:p>
    <w:p w:rsidR="00657C21" w:rsidRPr="00657C21" w:rsidRDefault="00657C21" w:rsidP="00657C21">
      <w:pPr>
        <w:widowControl w:val="0"/>
        <w:spacing w:after="0" w:line="240" w:lineRule="auto"/>
        <w:rPr>
          <w:rFonts w:ascii="Arial" w:eastAsia="SimSun" w:hAnsi="Arial" w:cs="Arial"/>
          <w:u w:val="single"/>
          <w:lang w:eastAsia="hi-IN" w:bidi="hi-IN"/>
        </w:rPr>
      </w:pPr>
      <w:r w:rsidRPr="00657C21">
        <w:rPr>
          <w:rFonts w:ascii="Arial" w:eastAsia="SimSun" w:hAnsi="Arial" w:cs="Arial"/>
          <w:b/>
          <w:u w:val="single"/>
          <w:lang w:eastAsia="hi-IN" w:bidi="hi-IN"/>
        </w:rPr>
        <w:t>Dostawa leków</w:t>
      </w:r>
    </w:p>
    <w:p w:rsidR="00657C21" w:rsidRPr="00657C21" w:rsidRDefault="00657C21" w:rsidP="00657C21">
      <w:pPr>
        <w:spacing w:after="0" w:line="240" w:lineRule="auto"/>
        <w:rPr>
          <w:rFonts w:ascii="Arial" w:eastAsia="Times New Roman" w:hAnsi="Arial" w:cs="Arial"/>
        </w:rPr>
      </w:pPr>
      <w:r w:rsidRPr="00657C21">
        <w:rPr>
          <w:rFonts w:ascii="Arial" w:hAnsi="Arial" w:cs="Arial"/>
        </w:rPr>
        <w:t xml:space="preserve"> dla Samodzielnego Publicznego Zespołu Opieki Zdrowotnej w Kościanie.</w:t>
      </w:r>
    </w:p>
    <w:p w:rsidR="00657C21" w:rsidRPr="00657C21" w:rsidRDefault="00657C21" w:rsidP="00657C21">
      <w:pPr>
        <w:spacing w:after="0" w:line="240" w:lineRule="auto"/>
        <w:rPr>
          <w:rFonts w:ascii="Arial" w:hAnsi="Arial" w:cs="Arial"/>
        </w:rPr>
      </w:pPr>
    </w:p>
    <w:p w:rsidR="00657C21" w:rsidRDefault="00657C21" w:rsidP="00657C21">
      <w:pPr>
        <w:spacing w:after="0" w:line="240" w:lineRule="auto"/>
        <w:rPr>
          <w:rFonts w:ascii="Arial" w:hAnsi="Arial" w:cs="Arial"/>
          <w:b/>
        </w:rPr>
      </w:pPr>
      <w:r w:rsidRPr="00657C21">
        <w:rPr>
          <w:rFonts w:ascii="Arial" w:hAnsi="Arial" w:cs="Arial"/>
          <w:b/>
        </w:rPr>
        <w:t>Znak sprawy SPZOZ.EPII.23.31.2017</w:t>
      </w:r>
    </w:p>
    <w:p w:rsidR="00657C21" w:rsidRPr="00657C21" w:rsidRDefault="00657C21" w:rsidP="00657C21">
      <w:pPr>
        <w:spacing w:after="0" w:line="240" w:lineRule="auto"/>
        <w:rPr>
          <w:rFonts w:ascii="Arial" w:hAnsi="Arial" w:cs="Arial"/>
          <w:u w:val="single"/>
        </w:rPr>
      </w:pPr>
      <w:r w:rsidRPr="00657C21">
        <w:rPr>
          <w:rFonts w:ascii="Arial" w:hAnsi="Arial" w:cs="Arial"/>
          <w:u w:val="single"/>
        </w:rPr>
        <w:t>Pytanie 1</w:t>
      </w:r>
    </w:p>
    <w:p w:rsidR="00657C21" w:rsidRPr="00657C21" w:rsidRDefault="00657C21" w:rsidP="00657C21">
      <w:pPr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  <w:r w:rsidRPr="00657C21">
        <w:rPr>
          <w:rFonts w:ascii="Arial" w:eastAsia="Times New Roman" w:hAnsi="Arial" w:cs="Arial"/>
          <w:lang w:eastAsia="pl-PL"/>
        </w:rPr>
        <w:t xml:space="preserve">pakiet 17 pozycja 7 </w:t>
      </w:r>
    </w:p>
    <w:p w:rsidR="00657C21" w:rsidRPr="00657C21" w:rsidRDefault="00657C21" w:rsidP="00657C21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  <w:r w:rsidRPr="00657C21">
        <w:rPr>
          <w:rFonts w:ascii="Arial" w:eastAsia="Times New Roman" w:hAnsi="Arial" w:cs="Arial"/>
          <w:lang w:eastAsia="pl-PL"/>
        </w:rPr>
        <w:t>Czy Zamawiający dopuści  produkt </w:t>
      </w:r>
      <w:proofErr w:type="spellStart"/>
      <w:r w:rsidRPr="00657C21">
        <w:rPr>
          <w:rFonts w:ascii="Arial" w:eastAsia="Times New Roman" w:hAnsi="Arial" w:cs="Arial"/>
          <w:lang w:eastAsia="pl-PL"/>
        </w:rPr>
        <w:t>Citra</w:t>
      </w:r>
      <w:proofErr w:type="spellEnd"/>
      <w:r w:rsidRPr="00657C21">
        <w:rPr>
          <w:rFonts w:ascii="Arial" w:eastAsia="Times New Roman" w:hAnsi="Arial" w:cs="Arial"/>
          <w:lang w:eastAsia="pl-PL"/>
        </w:rPr>
        <w:t xml:space="preserve">-Lock™ ( cytrynian sodu ) w stężeniu 4% w postaci bezigłowej ampułki x 5ml  z systemem </w:t>
      </w:r>
      <w:proofErr w:type="spellStart"/>
      <w:r w:rsidRPr="00657C21">
        <w:rPr>
          <w:rFonts w:ascii="Arial" w:eastAsia="Times New Roman" w:hAnsi="Arial" w:cs="Arial"/>
          <w:lang w:eastAsia="pl-PL"/>
        </w:rPr>
        <w:t>Luer</w:t>
      </w:r>
      <w:proofErr w:type="spellEnd"/>
      <w:r w:rsidRPr="00657C21">
        <w:rPr>
          <w:rFonts w:ascii="Arial" w:eastAsia="Times New Roman" w:hAnsi="Arial" w:cs="Arial"/>
          <w:lang w:eastAsia="pl-PL"/>
        </w:rPr>
        <w:t xml:space="preserve"> Slip, </w:t>
      </w:r>
      <w:proofErr w:type="spellStart"/>
      <w:r w:rsidRPr="00657C21">
        <w:rPr>
          <w:rFonts w:ascii="Arial" w:eastAsia="Times New Roman" w:hAnsi="Arial" w:cs="Arial"/>
          <w:lang w:eastAsia="pl-PL"/>
        </w:rPr>
        <w:t>Luer</w:t>
      </w:r>
      <w:proofErr w:type="spellEnd"/>
      <w:r w:rsidRPr="00657C21">
        <w:rPr>
          <w:rFonts w:ascii="Arial" w:eastAsia="Times New Roman" w:hAnsi="Arial" w:cs="Arial"/>
          <w:lang w:eastAsia="pl-PL"/>
        </w:rPr>
        <w:t xml:space="preserve"> Lock skuteczność potwierdzona wieloma badaniami klinicznymi w porównaniu  do Heparyny, stosowany w celu utrzymania prawidłowej drożności cewnika i/lub portu dożylnego ograniczając krwawienia ( pacjenci z HIT ), stosowany  jako skuteczne i bezpieczne rozwiązanie przeciwzakrzepowe i przeciwbakteryjne?</w:t>
      </w:r>
    </w:p>
    <w:p w:rsidR="00657C21" w:rsidRDefault="00657C21" w:rsidP="00657C21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  <w:r w:rsidRPr="00657C21">
        <w:rPr>
          <w:rFonts w:ascii="Arial" w:eastAsia="Times New Roman" w:hAnsi="Arial" w:cs="Arial"/>
          <w:lang w:eastAsia="pl-PL"/>
        </w:rPr>
        <w:t>Czy Zamawiający dopuści produkt o pojemności 5 ml  pakowany po 20 szt. w kartonie z przeliczeniem zamawianej ilości?  </w:t>
      </w:r>
    </w:p>
    <w:p w:rsidR="00D04059" w:rsidRPr="00657C21" w:rsidRDefault="00D04059" w:rsidP="00D04059">
      <w:pPr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  <w:r w:rsidRPr="00D04059">
        <w:rPr>
          <w:rFonts w:ascii="Arial" w:eastAsia="Times New Roman" w:hAnsi="Arial" w:cs="Arial"/>
          <w:u w:val="single"/>
          <w:lang w:eastAsia="pl-PL"/>
        </w:rPr>
        <w:t>Odp</w:t>
      </w:r>
      <w:r>
        <w:rPr>
          <w:rFonts w:ascii="Arial" w:eastAsia="Times New Roman" w:hAnsi="Arial" w:cs="Arial"/>
          <w:lang w:eastAsia="pl-PL"/>
        </w:rPr>
        <w:t>. Zamawiający nie dopuszcza.</w:t>
      </w:r>
    </w:p>
    <w:p w:rsidR="00B13565" w:rsidRPr="00B13565" w:rsidRDefault="00B13565">
      <w:pPr>
        <w:rPr>
          <w:rFonts w:ascii="Arial" w:hAnsi="Arial" w:cs="Arial"/>
          <w:u w:val="single"/>
        </w:rPr>
      </w:pPr>
      <w:r w:rsidRPr="00B13565">
        <w:rPr>
          <w:rFonts w:ascii="Arial" w:hAnsi="Arial" w:cs="Arial"/>
          <w:u w:val="single"/>
        </w:rPr>
        <w:t>Pytanie 2</w:t>
      </w:r>
    </w:p>
    <w:p w:rsidR="00657C21" w:rsidRDefault="00B135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B13565">
        <w:rPr>
          <w:rFonts w:ascii="Arial" w:hAnsi="Arial" w:cs="Arial"/>
        </w:rPr>
        <w:t>Czy w pakiecie nr 32 pozycja 1 (</w:t>
      </w:r>
      <w:proofErr w:type="spellStart"/>
      <w:r w:rsidRPr="00B13565">
        <w:rPr>
          <w:rFonts w:ascii="Arial" w:hAnsi="Arial" w:cs="Arial"/>
        </w:rPr>
        <w:t>Sevofluranum</w:t>
      </w:r>
      <w:proofErr w:type="spellEnd"/>
      <w:r w:rsidRPr="00B13565">
        <w:rPr>
          <w:rFonts w:ascii="Arial" w:hAnsi="Arial" w:cs="Arial"/>
        </w:rPr>
        <w:t xml:space="preserve"> 250 ml 60 butelek) Zamawiający w celu zapewnienia ciągłości pracy i bezpieczeństwa na bloku operacyjnym, wymaga </w:t>
      </w:r>
      <w:proofErr w:type="spellStart"/>
      <w:r w:rsidRPr="00B13565">
        <w:rPr>
          <w:rFonts w:ascii="Arial" w:hAnsi="Arial" w:cs="Arial"/>
        </w:rPr>
        <w:t>Sevofluranum</w:t>
      </w:r>
      <w:proofErr w:type="spellEnd"/>
      <w:r w:rsidRPr="00B13565">
        <w:rPr>
          <w:rFonts w:ascii="Arial" w:hAnsi="Arial" w:cs="Arial"/>
        </w:rPr>
        <w:t xml:space="preserve"> do parowników będących aktualnie na bloku operacyjnym tj. z zamkniętym, fabrycznie zamontowanym systemem napełniania, bez żadnych dodatkowych elementów (nakręcanych) łączących butelkę z parownikiem?</w:t>
      </w:r>
    </w:p>
    <w:p w:rsidR="00995CD3" w:rsidRDefault="00995CD3" w:rsidP="00995CD3">
      <w:pPr>
        <w:rPr>
          <w:rFonts w:ascii="Arial" w:hAnsi="Arial" w:cs="Arial"/>
        </w:rPr>
      </w:pPr>
      <w:proofErr w:type="spellStart"/>
      <w:r w:rsidRPr="00995CD3">
        <w:rPr>
          <w:rFonts w:ascii="Arial" w:hAnsi="Arial" w:cs="Arial"/>
          <w:u w:val="single"/>
        </w:rPr>
        <w:t>Odp</w:t>
      </w:r>
      <w:proofErr w:type="spellEnd"/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>.</w:t>
      </w:r>
      <w:r w:rsidRPr="00B13565">
        <w:rPr>
          <w:rFonts w:ascii="Arial" w:hAnsi="Arial" w:cs="Arial"/>
        </w:rPr>
        <w:t xml:space="preserve">Zamawiający w celu zapewnienia ciągłości pracy i bezpieczeństwa na bloku operacyjnym, wymaga </w:t>
      </w:r>
      <w:proofErr w:type="spellStart"/>
      <w:r w:rsidRPr="00B13565">
        <w:rPr>
          <w:rFonts w:ascii="Arial" w:hAnsi="Arial" w:cs="Arial"/>
        </w:rPr>
        <w:t>Sevofluranum</w:t>
      </w:r>
      <w:proofErr w:type="spellEnd"/>
      <w:r w:rsidRPr="00B13565">
        <w:rPr>
          <w:rFonts w:ascii="Arial" w:hAnsi="Arial" w:cs="Arial"/>
        </w:rPr>
        <w:t xml:space="preserve"> do parowników będących aktualnie na bloku operacyjnym tj. z zamkniętym, fabrycznie zamontowanym systemem napełniania, bez żadnych dodatkowych elementów (nakręcanych) </w:t>
      </w:r>
      <w:r>
        <w:rPr>
          <w:rFonts w:ascii="Arial" w:hAnsi="Arial" w:cs="Arial"/>
        </w:rPr>
        <w:t>łączących butelkę z parownikiem.</w:t>
      </w:r>
    </w:p>
    <w:p w:rsidR="00995CD3" w:rsidRDefault="00995CD3">
      <w:pPr>
        <w:rPr>
          <w:rFonts w:ascii="Arial" w:hAnsi="Arial" w:cs="Arial"/>
        </w:rPr>
      </w:pPr>
    </w:p>
    <w:p w:rsidR="000E2E76" w:rsidRPr="000E2E76" w:rsidRDefault="000E2E76">
      <w:pPr>
        <w:rPr>
          <w:rFonts w:ascii="Arial" w:hAnsi="Arial" w:cs="Arial"/>
          <w:u w:val="single"/>
        </w:rPr>
      </w:pPr>
      <w:r w:rsidRPr="000E2E76">
        <w:rPr>
          <w:rFonts w:ascii="Arial" w:hAnsi="Arial" w:cs="Arial"/>
          <w:u w:val="single"/>
        </w:rPr>
        <w:t>Pytanie 3</w:t>
      </w:r>
    </w:p>
    <w:p w:rsidR="000E2E76" w:rsidRPr="003E6A6F" w:rsidRDefault="000E2E76" w:rsidP="000E2E76">
      <w:pPr>
        <w:jc w:val="both"/>
        <w:rPr>
          <w:rFonts w:ascii="Arial" w:eastAsia="Calibri" w:hAnsi="Arial" w:cs="Arial"/>
          <w:u w:val="single"/>
        </w:rPr>
      </w:pPr>
      <w:r w:rsidRPr="003E6A6F">
        <w:rPr>
          <w:rFonts w:ascii="Arial" w:eastAsia="Calibri" w:hAnsi="Arial" w:cs="Arial"/>
          <w:u w:val="single"/>
        </w:rPr>
        <w:t>Poniższe pytania dotyczą opisu przedmiotu zamówienia w Pakiecie 13 poz. 53 w przedmiotowym postępowaniu:</w:t>
      </w:r>
    </w:p>
    <w:p w:rsidR="000E2E76" w:rsidRPr="00D04059" w:rsidRDefault="000E2E76" w:rsidP="000E2E76">
      <w:pPr>
        <w:numPr>
          <w:ilvl w:val="0"/>
          <w:numId w:val="2"/>
        </w:numPr>
        <w:jc w:val="both"/>
        <w:rPr>
          <w:rFonts w:ascii="Arial" w:eastAsia="Calibri" w:hAnsi="Arial" w:cs="Arial"/>
          <w:u w:val="single"/>
        </w:rPr>
      </w:pPr>
      <w:r w:rsidRPr="003E6A6F">
        <w:rPr>
          <w:rFonts w:ascii="Arial" w:eastAsia="Calibri" w:hAnsi="Arial" w:cs="Arial"/>
        </w:rPr>
        <w:t>Uprzejmie p</w:t>
      </w:r>
      <w:r w:rsidRPr="003E6A6F">
        <w:rPr>
          <w:rFonts w:ascii="Arial" w:eastAsia="Calibri" w:hAnsi="Arial" w:cs="Arial"/>
          <w:color w:val="000000"/>
        </w:rPr>
        <w:t xml:space="preserve">rosimy o dopuszczenie spełniającego te same cele preparatu </w:t>
      </w:r>
      <w:proofErr w:type="spellStart"/>
      <w:r w:rsidRPr="003E6A6F">
        <w:rPr>
          <w:rFonts w:ascii="Arial" w:eastAsia="Calibri" w:hAnsi="Arial" w:cs="Arial"/>
          <w:color w:val="000000"/>
        </w:rPr>
        <w:t>probiotycznego</w:t>
      </w:r>
      <w:proofErr w:type="spellEnd"/>
      <w:r w:rsidRPr="003E6A6F">
        <w:rPr>
          <w:rFonts w:ascii="Arial" w:eastAsia="Calibri" w:hAnsi="Arial" w:cs="Arial"/>
          <w:color w:val="000000"/>
        </w:rPr>
        <w:t xml:space="preserve"> o nazwie </w:t>
      </w:r>
      <w:proofErr w:type="spellStart"/>
      <w:r w:rsidRPr="003E6A6F">
        <w:rPr>
          <w:rFonts w:ascii="Arial" w:eastAsia="Calibri" w:hAnsi="Arial" w:cs="Arial"/>
          <w:color w:val="000000"/>
        </w:rPr>
        <w:t>ProbioDr</w:t>
      </w:r>
      <w:proofErr w:type="spellEnd"/>
      <w:r w:rsidRPr="003E6A6F">
        <w:rPr>
          <w:rFonts w:ascii="Arial" w:eastAsia="Calibri" w:hAnsi="Arial" w:cs="Arial"/>
          <w:color w:val="000000"/>
        </w:rPr>
        <w:t xml:space="preserve">. będącego preparatem złożonym i dietetycznym </w:t>
      </w:r>
      <w:r w:rsidRPr="003E6A6F">
        <w:rPr>
          <w:rFonts w:ascii="Arial" w:eastAsia="Calibri" w:hAnsi="Arial" w:cs="Arial"/>
          <w:color w:val="000000"/>
        </w:rPr>
        <w:lastRenderedPageBreak/>
        <w:t xml:space="preserve">środkiem spożywczym specjalnego przeznaczenia medycznego, </w:t>
      </w:r>
      <w:r w:rsidRPr="003E6A6F">
        <w:rPr>
          <w:rFonts w:ascii="Arial" w:eastAsia="Calibri" w:hAnsi="Arial" w:cs="Arial"/>
        </w:rPr>
        <w:t xml:space="preserve">przeznaczonym do stosowania u niemowląt, dzieci i osób dorosłych, zawierającym w swoim składzie najlepiej przebadany pod względem klinicznym szczep bakterii </w:t>
      </w:r>
      <w:proofErr w:type="spellStart"/>
      <w:r w:rsidRPr="003E6A6F">
        <w:rPr>
          <w:rFonts w:ascii="Arial" w:eastAsia="Calibri" w:hAnsi="Arial" w:cs="Arial"/>
        </w:rPr>
        <w:t>probiotycznych</w:t>
      </w:r>
      <w:proofErr w:type="spellEnd"/>
      <w:r w:rsidRPr="003E6A6F">
        <w:rPr>
          <w:rFonts w:ascii="Arial" w:eastAsia="Calibri" w:hAnsi="Arial" w:cs="Arial"/>
        </w:rPr>
        <w:t xml:space="preserve"> </w:t>
      </w:r>
      <w:proofErr w:type="spellStart"/>
      <w:r w:rsidRPr="003E6A6F">
        <w:rPr>
          <w:rFonts w:ascii="Arial" w:eastAsia="Calibri" w:hAnsi="Arial" w:cs="Arial"/>
          <w:i/>
        </w:rPr>
        <w:t>Lactobacillus</w:t>
      </w:r>
      <w:proofErr w:type="spellEnd"/>
      <w:r w:rsidRPr="003E6A6F">
        <w:rPr>
          <w:rFonts w:ascii="Arial" w:eastAsia="Calibri" w:hAnsi="Arial" w:cs="Arial"/>
          <w:i/>
        </w:rPr>
        <w:t xml:space="preserve"> </w:t>
      </w:r>
      <w:proofErr w:type="spellStart"/>
      <w:r w:rsidRPr="003E6A6F">
        <w:rPr>
          <w:rFonts w:ascii="Arial" w:eastAsia="Calibri" w:hAnsi="Arial" w:cs="Arial"/>
          <w:i/>
        </w:rPr>
        <w:t>rhamnosus</w:t>
      </w:r>
      <w:proofErr w:type="spellEnd"/>
      <w:r w:rsidRPr="003E6A6F">
        <w:rPr>
          <w:rFonts w:ascii="Arial" w:eastAsia="Calibri" w:hAnsi="Arial" w:cs="Arial"/>
        </w:rPr>
        <w:t xml:space="preserve"> i </w:t>
      </w:r>
      <w:proofErr w:type="spellStart"/>
      <w:r w:rsidRPr="003E6A6F">
        <w:rPr>
          <w:rFonts w:ascii="Arial" w:eastAsia="Calibri" w:hAnsi="Arial" w:cs="Arial"/>
          <w:i/>
        </w:rPr>
        <w:t>Lactobacillus</w:t>
      </w:r>
      <w:proofErr w:type="spellEnd"/>
      <w:r w:rsidRPr="003E6A6F">
        <w:rPr>
          <w:rFonts w:ascii="Arial" w:eastAsia="Calibri" w:hAnsi="Arial" w:cs="Arial"/>
          <w:i/>
        </w:rPr>
        <w:t xml:space="preserve"> </w:t>
      </w:r>
      <w:proofErr w:type="spellStart"/>
      <w:r w:rsidRPr="003E6A6F">
        <w:rPr>
          <w:rFonts w:ascii="Arial" w:eastAsia="Calibri" w:hAnsi="Arial" w:cs="Arial"/>
          <w:i/>
        </w:rPr>
        <w:t>helveticus</w:t>
      </w:r>
      <w:proofErr w:type="spellEnd"/>
      <w:r w:rsidRPr="003E6A6F">
        <w:rPr>
          <w:rFonts w:ascii="Arial" w:eastAsia="Calibri" w:hAnsi="Arial" w:cs="Arial"/>
        </w:rPr>
        <w:t xml:space="preserve"> w takim samym łącznym stężeniu 2 mld CFU/kapsułkę, takiej samej postaci i w takim samym stosunku ilościowym jak produkt wymieniony w SIWZ.</w:t>
      </w:r>
    </w:p>
    <w:p w:rsidR="00D04059" w:rsidRPr="003E6A6F" w:rsidRDefault="00D04059" w:rsidP="00D04059">
      <w:pPr>
        <w:ind w:left="360"/>
        <w:jc w:val="both"/>
        <w:rPr>
          <w:rFonts w:ascii="Arial" w:eastAsia="Calibri" w:hAnsi="Arial" w:cs="Arial"/>
          <w:u w:val="single"/>
        </w:rPr>
      </w:pPr>
      <w:r w:rsidRPr="00D04059">
        <w:rPr>
          <w:rFonts w:ascii="Arial" w:eastAsia="Calibri" w:hAnsi="Arial" w:cs="Arial"/>
          <w:u w:val="single"/>
        </w:rPr>
        <w:t>Odp</w:t>
      </w:r>
      <w:r>
        <w:rPr>
          <w:rFonts w:ascii="Arial" w:eastAsia="Calibri" w:hAnsi="Arial" w:cs="Arial"/>
        </w:rPr>
        <w:t>. Zamawiający nie dopuszcza.</w:t>
      </w:r>
    </w:p>
    <w:p w:rsidR="000E2E76" w:rsidRPr="00D04059" w:rsidRDefault="000E2E76" w:rsidP="000E2E76">
      <w:pPr>
        <w:numPr>
          <w:ilvl w:val="0"/>
          <w:numId w:val="2"/>
        </w:numPr>
        <w:jc w:val="both"/>
        <w:rPr>
          <w:rFonts w:ascii="Arial" w:eastAsia="Calibri" w:hAnsi="Arial" w:cs="Arial"/>
          <w:u w:val="single"/>
        </w:rPr>
      </w:pPr>
      <w:r w:rsidRPr="003E6A6F">
        <w:rPr>
          <w:rFonts w:ascii="Arial" w:eastAsia="Calibri" w:hAnsi="Arial" w:cs="Arial"/>
        </w:rPr>
        <w:t xml:space="preserve">Zwracamy się z uprzejmą prośbą o dopuszczenie zaoferowania spełniającego te same cele zamiennika o nazwie </w:t>
      </w:r>
      <w:proofErr w:type="spellStart"/>
      <w:r w:rsidRPr="003E6A6F">
        <w:rPr>
          <w:rFonts w:ascii="Arial" w:eastAsia="Calibri" w:hAnsi="Arial" w:cs="Arial"/>
        </w:rPr>
        <w:t>LactoDr</w:t>
      </w:r>
      <w:proofErr w:type="spellEnd"/>
      <w:r w:rsidRPr="003E6A6F">
        <w:rPr>
          <w:rFonts w:ascii="Arial" w:eastAsia="Calibri" w:hAnsi="Arial" w:cs="Arial"/>
        </w:rPr>
        <w:t xml:space="preserve">., będącego </w:t>
      </w:r>
      <w:r w:rsidRPr="003E6A6F">
        <w:rPr>
          <w:rFonts w:ascii="Arial" w:eastAsia="Calibri" w:hAnsi="Arial" w:cs="Arial"/>
          <w:color w:val="000000"/>
        </w:rPr>
        <w:t>dietetycznym środkiem spożywczym specjalnego przeznaczenia medycznego</w:t>
      </w:r>
      <w:r w:rsidRPr="003E6A6F">
        <w:rPr>
          <w:rFonts w:ascii="Arial" w:eastAsia="Calibri" w:hAnsi="Arial" w:cs="Arial"/>
        </w:rPr>
        <w:t xml:space="preserve"> zawierającego najlepiej przebadany pod względem klinicznym szczep bakterii </w:t>
      </w:r>
      <w:proofErr w:type="spellStart"/>
      <w:r w:rsidRPr="003E6A6F">
        <w:rPr>
          <w:rFonts w:ascii="Arial" w:eastAsia="Calibri" w:hAnsi="Arial" w:cs="Arial"/>
        </w:rPr>
        <w:t>probiotycznych</w:t>
      </w:r>
      <w:proofErr w:type="spellEnd"/>
      <w:r w:rsidRPr="003E6A6F">
        <w:rPr>
          <w:rFonts w:ascii="Arial" w:eastAsia="Calibri" w:hAnsi="Arial" w:cs="Arial"/>
        </w:rPr>
        <w:t xml:space="preserve"> (działanie potwierdzone w kilkuset opublikowanych w literaturze światowej badaniach klinicznych) </w:t>
      </w:r>
      <w:proofErr w:type="spellStart"/>
      <w:r w:rsidRPr="003E6A6F">
        <w:rPr>
          <w:rFonts w:ascii="Arial" w:eastAsia="Calibri" w:hAnsi="Arial" w:cs="Arial"/>
          <w:i/>
        </w:rPr>
        <w:t>Lactobacillus</w:t>
      </w:r>
      <w:proofErr w:type="spellEnd"/>
      <w:r w:rsidRPr="003E6A6F">
        <w:rPr>
          <w:rFonts w:ascii="Arial" w:eastAsia="Calibri" w:hAnsi="Arial" w:cs="Arial"/>
          <w:i/>
        </w:rPr>
        <w:t xml:space="preserve"> </w:t>
      </w:r>
      <w:proofErr w:type="spellStart"/>
      <w:r w:rsidRPr="003E6A6F">
        <w:rPr>
          <w:rFonts w:ascii="Arial" w:eastAsia="Calibri" w:hAnsi="Arial" w:cs="Arial"/>
          <w:i/>
        </w:rPr>
        <w:t>rhamnosus</w:t>
      </w:r>
      <w:proofErr w:type="spellEnd"/>
      <w:r w:rsidRPr="003E6A6F">
        <w:rPr>
          <w:rFonts w:ascii="Arial" w:eastAsia="Calibri" w:hAnsi="Arial" w:cs="Arial"/>
          <w:i/>
        </w:rPr>
        <w:t xml:space="preserve"> GG ATCC 53103</w:t>
      </w:r>
      <w:r w:rsidRPr="003E6A6F">
        <w:rPr>
          <w:rFonts w:ascii="Arial" w:eastAsia="Calibri" w:hAnsi="Arial" w:cs="Arial"/>
        </w:rPr>
        <w:t xml:space="preserve"> w wysoce aktywnym stężeniu 6 mld CFU/kapsułkę, przeznaczonego do stosowania u noworodków, niemowląt, dzieci i osób dorosłych, konfekcjonowanego w opakowaniach x 20 lub x 30 kaps. – po przeliczeniu kapsułek na odpowiednią liczbę opakowań i zaokrągleniu uzyskanego wyniku w górę.</w:t>
      </w:r>
    </w:p>
    <w:p w:rsidR="00D04059" w:rsidRPr="003E6A6F" w:rsidRDefault="00D04059" w:rsidP="00D04059">
      <w:pPr>
        <w:ind w:left="360"/>
        <w:jc w:val="both"/>
        <w:rPr>
          <w:rFonts w:ascii="Arial" w:eastAsia="Calibri" w:hAnsi="Arial" w:cs="Arial"/>
          <w:u w:val="single"/>
        </w:rPr>
      </w:pPr>
      <w:r w:rsidRPr="00D04059">
        <w:rPr>
          <w:rFonts w:ascii="Arial" w:eastAsia="Calibri" w:hAnsi="Arial" w:cs="Arial"/>
          <w:u w:val="single"/>
        </w:rPr>
        <w:t>Odp</w:t>
      </w:r>
      <w:r>
        <w:rPr>
          <w:rFonts w:ascii="Arial" w:eastAsia="Calibri" w:hAnsi="Arial" w:cs="Arial"/>
        </w:rPr>
        <w:t>. Zamawiający nie dopuszcza</w:t>
      </w:r>
    </w:p>
    <w:p w:rsidR="000E2E76" w:rsidRPr="003E6A6F" w:rsidRDefault="000E2E76" w:rsidP="000E2E76">
      <w:pPr>
        <w:ind w:left="720"/>
        <w:jc w:val="both"/>
        <w:rPr>
          <w:rFonts w:ascii="Arial" w:eastAsia="Calibri" w:hAnsi="Arial" w:cs="Arial"/>
          <w:u w:val="single"/>
        </w:rPr>
      </w:pPr>
      <w:r w:rsidRPr="003E6A6F">
        <w:rPr>
          <w:rFonts w:ascii="Arial" w:eastAsia="Calibri" w:hAnsi="Arial" w:cs="Arial"/>
          <w:u w:val="single"/>
        </w:rPr>
        <w:t>Pytanie 4</w:t>
      </w:r>
    </w:p>
    <w:p w:rsidR="000E2E76" w:rsidRPr="003E6A6F" w:rsidRDefault="000E2E76" w:rsidP="000E2E76">
      <w:pPr>
        <w:jc w:val="both"/>
        <w:rPr>
          <w:rFonts w:ascii="Arial" w:eastAsia="Calibri" w:hAnsi="Arial" w:cs="Arial"/>
        </w:rPr>
      </w:pPr>
      <w:r w:rsidRPr="003E6A6F">
        <w:rPr>
          <w:rFonts w:ascii="Arial" w:eastAsia="Calibri" w:hAnsi="Arial" w:cs="Arial"/>
          <w:u w:val="single"/>
        </w:rPr>
        <w:t>Kolejne pytanie dotyczy opisu przedmiotu zamówienia w Pakiecie 8 poz. 6 w przedmiotowym postępowaniu:</w:t>
      </w:r>
    </w:p>
    <w:p w:rsidR="000E2E76" w:rsidRDefault="000E2E76" w:rsidP="003E6A6F">
      <w:pPr>
        <w:ind w:left="720"/>
        <w:jc w:val="both"/>
        <w:rPr>
          <w:rFonts w:ascii="Arial" w:eastAsia="Calibri" w:hAnsi="Arial" w:cs="Arial"/>
        </w:rPr>
      </w:pPr>
      <w:r w:rsidRPr="003E6A6F">
        <w:rPr>
          <w:rFonts w:ascii="Arial" w:eastAsia="Calibri" w:hAnsi="Arial" w:cs="Arial"/>
        </w:rPr>
        <w:t xml:space="preserve">Zwracamy się z uprzejmą prośbą o dopuszczenie zaoferowania spełniającego te same cele zamiennika o nazwie </w:t>
      </w:r>
      <w:proofErr w:type="spellStart"/>
      <w:r w:rsidRPr="003E6A6F">
        <w:rPr>
          <w:rFonts w:ascii="Arial" w:eastAsia="Calibri" w:hAnsi="Arial" w:cs="Arial"/>
        </w:rPr>
        <w:t>LactoDr</w:t>
      </w:r>
      <w:proofErr w:type="spellEnd"/>
      <w:r w:rsidRPr="003E6A6F">
        <w:rPr>
          <w:rFonts w:ascii="Arial" w:eastAsia="Calibri" w:hAnsi="Arial" w:cs="Arial"/>
        </w:rPr>
        <w:t xml:space="preserve">., będącego </w:t>
      </w:r>
      <w:r w:rsidRPr="003E6A6F">
        <w:rPr>
          <w:rFonts w:ascii="Arial" w:eastAsia="Calibri" w:hAnsi="Arial" w:cs="Arial"/>
          <w:color w:val="000000"/>
        </w:rPr>
        <w:t>dietetycznym środkiem spożywczym specjalnego przeznaczenia medycznego</w:t>
      </w:r>
      <w:r w:rsidRPr="003E6A6F">
        <w:rPr>
          <w:rFonts w:ascii="Arial" w:eastAsia="Calibri" w:hAnsi="Arial" w:cs="Arial"/>
        </w:rPr>
        <w:t xml:space="preserve"> zawierającego najlepiej przebadany pod względem klinicznym szczep bakterii </w:t>
      </w:r>
      <w:proofErr w:type="spellStart"/>
      <w:r w:rsidRPr="003E6A6F">
        <w:rPr>
          <w:rFonts w:ascii="Arial" w:eastAsia="Calibri" w:hAnsi="Arial" w:cs="Arial"/>
        </w:rPr>
        <w:t>probiotycznych</w:t>
      </w:r>
      <w:proofErr w:type="spellEnd"/>
      <w:r w:rsidRPr="003E6A6F">
        <w:rPr>
          <w:rFonts w:ascii="Arial" w:eastAsia="Calibri" w:hAnsi="Arial" w:cs="Arial"/>
        </w:rPr>
        <w:t xml:space="preserve"> (działanie potwierdzone w kilkuset opublikowanych w literaturze światowej badaniach klinicznych) </w:t>
      </w:r>
      <w:proofErr w:type="spellStart"/>
      <w:r w:rsidRPr="003E6A6F">
        <w:rPr>
          <w:rFonts w:ascii="Arial" w:eastAsia="Calibri" w:hAnsi="Arial" w:cs="Arial"/>
          <w:i/>
        </w:rPr>
        <w:t>Lactobacillus</w:t>
      </w:r>
      <w:proofErr w:type="spellEnd"/>
      <w:r w:rsidRPr="003E6A6F">
        <w:rPr>
          <w:rFonts w:ascii="Arial" w:eastAsia="Calibri" w:hAnsi="Arial" w:cs="Arial"/>
          <w:i/>
        </w:rPr>
        <w:t xml:space="preserve"> </w:t>
      </w:r>
      <w:proofErr w:type="spellStart"/>
      <w:r w:rsidRPr="003E6A6F">
        <w:rPr>
          <w:rFonts w:ascii="Arial" w:eastAsia="Calibri" w:hAnsi="Arial" w:cs="Arial"/>
          <w:i/>
        </w:rPr>
        <w:t>rhamnosus</w:t>
      </w:r>
      <w:proofErr w:type="spellEnd"/>
      <w:r w:rsidRPr="003E6A6F">
        <w:rPr>
          <w:rFonts w:ascii="Arial" w:eastAsia="Calibri" w:hAnsi="Arial" w:cs="Arial"/>
          <w:i/>
        </w:rPr>
        <w:t xml:space="preserve"> GG ATCC 53103</w:t>
      </w:r>
      <w:r w:rsidRPr="003E6A6F">
        <w:rPr>
          <w:rFonts w:ascii="Arial" w:eastAsia="Calibri" w:hAnsi="Arial" w:cs="Arial"/>
        </w:rPr>
        <w:t xml:space="preserve"> w wysoce aktywnym stężeniu 6 mld CFU/kapsułkę, przeznaczonego do stosowania u noworodków, niemowląt, dzieci i osób dorosłych, konfekcjonowanego w opakowaniach x 20 lub x 30 kaps. – po przeliczeniu kapsułek na odpowiednią liczbę opakowań i zaokrągleniu uzyskanego wyniku w górę.</w:t>
      </w:r>
    </w:p>
    <w:p w:rsidR="00D04059" w:rsidRPr="003E6A6F" w:rsidRDefault="00D04059" w:rsidP="00D04059">
      <w:pPr>
        <w:jc w:val="both"/>
        <w:rPr>
          <w:rFonts w:ascii="Arial" w:eastAsia="Calibri" w:hAnsi="Arial" w:cs="Arial"/>
          <w:u w:val="single"/>
        </w:rPr>
      </w:pPr>
      <w:r w:rsidRPr="00D04059">
        <w:rPr>
          <w:rFonts w:ascii="Arial" w:eastAsia="Calibri" w:hAnsi="Arial" w:cs="Arial"/>
          <w:u w:val="single"/>
        </w:rPr>
        <w:t>Odp</w:t>
      </w:r>
      <w:r>
        <w:rPr>
          <w:rFonts w:ascii="Arial" w:eastAsia="Calibri" w:hAnsi="Arial" w:cs="Arial"/>
        </w:rPr>
        <w:t>. Zamawiający nie dopuszcza</w:t>
      </w:r>
    </w:p>
    <w:p w:rsidR="000E2E76" w:rsidRPr="003E6A6F" w:rsidRDefault="003E6A6F" w:rsidP="000E2E76">
      <w:pPr>
        <w:jc w:val="both"/>
        <w:rPr>
          <w:rFonts w:ascii="Arial" w:eastAsia="Calibri" w:hAnsi="Arial" w:cs="Arial"/>
          <w:u w:val="single"/>
        </w:rPr>
      </w:pPr>
      <w:r w:rsidRPr="003E6A6F">
        <w:rPr>
          <w:rFonts w:ascii="Arial" w:eastAsia="Calibri" w:hAnsi="Arial" w:cs="Arial"/>
          <w:u w:val="single"/>
        </w:rPr>
        <w:t>Pytanie 5</w:t>
      </w:r>
    </w:p>
    <w:p w:rsidR="000E2E76" w:rsidRPr="003E6A6F" w:rsidRDefault="000E2E76" w:rsidP="000E2E76">
      <w:pPr>
        <w:jc w:val="both"/>
        <w:rPr>
          <w:rFonts w:ascii="Arial" w:eastAsia="Calibri" w:hAnsi="Arial" w:cs="Arial"/>
          <w:u w:val="single"/>
        </w:rPr>
      </w:pPr>
      <w:r w:rsidRPr="003E6A6F">
        <w:rPr>
          <w:rFonts w:ascii="Arial" w:eastAsia="Calibri" w:hAnsi="Arial" w:cs="Arial"/>
          <w:u w:val="single"/>
        </w:rPr>
        <w:t>Kolejne pytanie dotyczy opisu przedmiotu zamówienia w Pakiecie 49 poz. 8 w przedmiotowym postępowaniu:</w:t>
      </w:r>
    </w:p>
    <w:p w:rsidR="000E2E76" w:rsidRDefault="000E2E76" w:rsidP="003E6A6F">
      <w:pPr>
        <w:ind w:left="720"/>
        <w:jc w:val="both"/>
        <w:rPr>
          <w:rFonts w:ascii="Arial" w:eastAsia="Calibri" w:hAnsi="Arial" w:cs="Arial"/>
        </w:rPr>
      </w:pPr>
      <w:r w:rsidRPr="003E6A6F">
        <w:rPr>
          <w:rFonts w:ascii="Arial" w:eastAsia="Calibri" w:hAnsi="Arial" w:cs="Arial"/>
        </w:rPr>
        <w:t xml:space="preserve">Z uwagi na zmieszczenie w opisie przedmiotu zamówienia nazwy własnej suplementu diety będącej zastrzeżonym znakiem towarowym konkretnego wytwórcy, zwracamy się z uprzejmą prośbą o dopuszczenie zaoferowania spełniającego te same cele, równoważnego zamiennika o nazwie </w:t>
      </w:r>
      <w:proofErr w:type="spellStart"/>
      <w:r w:rsidRPr="003E6A6F">
        <w:rPr>
          <w:rFonts w:ascii="Arial" w:eastAsia="Calibri" w:hAnsi="Arial" w:cs="Arial"/>
        </w:rPr>
        <w:t>LactoDr</w:t>
      </w:r>
      <w:proofErr w:type="spellEnd"/>
      <w:r w:rsidRPr="003E6A6F">
        <w:rPr>
          <w:rFonts w:ascii="Arial" w:eastAsia="Calibri" w:hAnsi="Arial" w:cs="Arial"/>
        </w:rPr>
        <w:t xml:space="preserve">., będącego </w:t>
      </w:r>
      <w:r w:rsidRPr="003E6A6F">
        <w:rPr>
          <w:rFonts w:ascii="Arial" w:eastAsia="Calibri" w:hAnsi="Arial" w:cs="Arial"/>
          <w:color w:val="000000"/>
        </w:rPr>
        <w:t>dietetycznym środkiem spożywczym specjalnego przeznaczenia medycznego</w:t>
      </w:r>
      <w:r w:rsidRPr="003E6A6F">
        <w:rPr>
          <w:rFonts w:ascii="Arial" w:eastAsia="Calibri" w:hAnsi="Arial" w:cs="Arial"/>
        </w:rPr>
        <w:t xml:space="preserve"> zawierającego identyczny szczep bakterii </w:t>
      </w:r>
      <w:proofErr w:type="spellStart"/>
      <w:r w:rsidRPr="003E6A6F">
        <w:rPr>
          <w:rFonts w:ascii="Arial" w:eastAsia="Calibri" w:hAnsi="Arial" w:cs="Arial"/>
        </w:rPr>
        <w:t>probiotycznych</w:t>
      </w:r>
      <w:proofErr w:type="spellEnd"/>
      <w:r w:rsidRPr="003E6A6F">
        <w:rPr>
          <w:rFonts w:ascii="Arial" w:eastAsia="Calibri" w:hAnsi="Arial" w:cs="Arial"/>
        </w:rPr>
        <w:t xml:space="preserve"> </w:t>
      </w:r>
      <w:proofErr w:type="spellStart"/>
      <w:r w:rsidRPr="003E6A6F">
        <w:rPr>
          <w:rFonts w:ascii="Arial" w:eastAsia="Calibri" w:hAnsi="Arial" w:cs="Arial"/>
          <w:i/>
        </w:rPr>
        <w:t>Lactobacillus</w:t>
      </w:r>
      <w:proofErr w:type="spellEnd"/>
      <w:r w:rsidRPr="003E6A6F">
        <w:rPr>
          <w:rFonts w:ascii="Arial" w:eastAsia="Calibri" w:hAnsi="Arial" w:cs="Arial"/>
          <w:i/>
        </w:rPr>
        <w:t xml:space="preserve"> </w:t>
      </w:r>
      <w:proofErr w:type="spellStart"/>
      <w:r w:rsidRPr="003E6A6F">
        <w:rPr>
          <w:rFonts w:ascii="Arial" w:eastAsia="Calibri" w:hAnsi="Arial" w:cs="Arial"/>
          <w:i/>
        </w:rPr>
        <w:t>rhamnosus</w:t>
      </w:r>
      <w:proofErr w:type="spellEnd"/>
      <w:r w:rsidRPr="003E6A6F">
        <w:rPr>
          <w:rFonts w:ascii="Arial" w:eastAsia="Calibri" w:hAnsi="Arial" w:cs="Arial"/>
          <w:i/>
        </w:rPr>
        <w:t xml:space="preserve"> GG ATCC 53103</w:t>
      </w:r>
      <w:r w:rsidRPr="003E6A6F">
        <w:rPr>
          <w:rFonts w:ascii="Arial" w:eastAsia="Calibri" w:hAnsi="Arial" w:cs="Arial"/>
        </w:rPr>
        <w:t xml:space="preserve"> </w:t>
      </w:r>
      <w:r w:rsidRPr="003E6A6F">
        <w:rPr>
          <w:rFonts w:ascii="Arial" w:eastAsia="Calibri" w:hAnsi="Arial" w:cs="Arial"/>
        </w:rPr>
        <w:lastRenderedPageBreak/>
        <w:t>w identycznym stężeniu 6 mld CFU/kapsułkę, przeznaczonego do stosowania u noworodków, niemowląt, dzieci i osób dorosłych, konfekcjonowanego w opakowaniach x 20 lub x 30 kaps. – po przeliczeniu kapsułek na odpowiednią liczbę opakowań i zaokrągleniu uzyskanego wyniku w górę.</w:t>
      </w:r>
    </w:p>
    <w:p w:rsidR="00D04059" w:rsidRPr="003E6A6F" w:rsidRDefault="00D04059" w:rsidP="00D04059">
      <w:pPr>
        <w:jc w:val="both"/>
        <w:rPr>
          <w:rFonts w:ascii="Arial" w:eastAsia="Calibri" w:hAnsi="Arial" w:cs="Arial"/>
        </w:rPr>
      </w:pPr>
      <w:r w:rsidRPr="008E303D">
        <w:rPr>
          <w:rFonts w:ascii="Arial" w:eastAsia="Calibri" w:hAnsi="Arial" w:cs="Arial"/>
          <w:u w:val="single"/>
        </w:rPr>
        <w:t>Odp</w:t>
      </w:r>
      <w:r>
        <w:rPr>
          <w:rFonts w:ascii="Arial" w:eastAsia="Calibri" w:hAnsi="Arial" w:cs="Arial"/>
        </w:rPr>
        <w:t xml:space="preserve">. </w:t>
      </w:r>
      <w:r w:rsidR="008E303D">
        <w:rPr>
          <w:rFonts w:ascii="Arial" w:eastAsia="Calibri" w:hAnsi="Arial" w:cs="Arial"/>
        </w:rPr>
        <w:t>Zgodnie z formularzem asortymentowym i SIWZ</w:t>
      </w:r>
      <w:r w:rsidR="00233D73">
        <w:rPr>
          <w:rFonts w:ascii="Arial" w:eastAsia="Calibri" w:hAnsi="Arial" w:cs="Arial"/>
        </w:rPr>
        <w:t xml:space="preserve"> </w:t>
      </w:r>
      <w:r w:rsidR="008E303D">
        <w:rPr>
          <w:rFonts w:ascii="Arial" w:eastAsia="Calibri" w:hAnsi="Arial" w:cs="Arial"/>
        </w:rPr>
        <w:t xml:space="preserve"> </w:t>
      </w:r>
      <w:r w:rsidR="00233D73">
        <w:rPr>
          <w:rFonts w:ascii="Arial" w:eastAsia="Calibri" w:hAnsi="Arial" w:cs="Arial"/>
        </w:rPr>
        <w:t>rozdz.</w:t>
      </w:r>
      <w:r w:rsidR="008E303D">
        <w:rPr>
          <w:rFonts w:ascii="Arial" w:eastAsia="Calibri" w:hAnsi="Arial" w:cs="Arial"/>
        </w:rPr>
        <w:t xml:space="preserve"> </w:t>
      </w:r>
      <w:r w:rsidR="00233D73">
        <w:rPr>
          <w:rFonts w:ascii="Arial" w:eastAsia="Calibri" w:hAnsi="Arial" w:cs="Arial"/>
        </w:rPr>
        <w:t>I</w:t>
      </w:r>
      <w:r w:rsidR="008E303D">
        <w:rPr>
          <w:rFonts w:ascii="Arial" w:eastAsia="Calibri" w:hAnsi="Arial" w:cs="Arial"/>
        </w:rPr>
        <w:t>II.p.10</w:t>
      </w:r>
      <w:r w:rsidR="00233D73">
        <w:rPr>
          <w:rFonts w:ascii="Arial" w:eastAsia="Calibri" w:hAnsi="Arial" w:cs="Arial"/>
        </w:rPr>
        <w:t xml:space="preserve"> </w:t>
      </w:r>
      <w:r w:rsidR="008E303D">
        <w:rPr>
          <w:rFonts w:ascii="Arial" w:eastAsia="Calibri" w:hAnsi="Arial" w:cs="Arial"/>
        </w:rPr>
        <w:t>- podano przykładową nazwę handlową.</w:t>
      </w:r>
    </w:p>
    <w:p w:rsidR="003E6A6F" w:rsidRPr="003E6A6F" w:rsidRDefault="003E6A6F" w:rsidP="003E6A6F">
      <w:pPr>
        <w:jc w:val="both"/>
        <w:rPr>
          <w:rFonts w:ascii="Arial" w:eastAsia="Calibri" w:hAnsi="Arial" w:cs="Arial"/>
          <w:u w:val="single"/>
        </w:rPr>
      </w:pPr>
      <w:r w:rsidRPr="003E6A6F">
        <w:rPr>
          <w:rFonts w:ascii="Arial" w:eastAsia="Calibri" w:hAnsi="Arial" w:cs="Arial"/>
          <w:u w:val="single"/>
        </w:rPr>
        <w:t>Pytanie 6</w:t>
      </w:r>
    </w:p>
    <w:p w:rsidR="000E2E76" w:rsidRPr="003E6A6F" w:rsidRDefault="000E2E76" w:rsidP="000E2E76">
      <w:pPr>
        <w:jc w:val="both"/>
        <w:rPr>
          <w:rFonts w:ascii="Arial" w:eastAsia="Calibri" w:hAnsi="Arial" w:cs="Arial"/>
          <w:u w:val="single"/>
        </w:rPr>
      </w:pPr>
      <w:r w:rsidRPr="003E6A6F">
        <w:rPr>
          <w:rFonts w:ascii="Arial" w:eastAsia="Calibri" w:hAnsi="Arial" w:cs="Arial"/>
          <w:u w:val="single"/>
        </w:rPr>
        <w:t>Kolejne pytanie dotyczy opisu przedmiotu zamówienia w Pakiecie 13 poz. 107 w przedmiotowym postępowaniu:</w:t>
      </w:r>
    </w:p>
    <w:p w:rsidR="000E2E76" w:rsidRDefault="000E2E76" w:rsidP="003E6A6F">
      <w:pPr>
        <w:ind w:left="720"/>
        <w:jc w:val="both"/>
        <w:rPr>
          <w:rFonts w:ascii="Arial" w:eastAsia="Times New Roman" w:hAnsi="Arial" w:cs="Arial"/>
          <w:bCs/>
        </w:rPr>
      </w:pPr>
      <w:r w:rsidRPr="003E6A6F">
        <w:rPr>
          <w:rFonts w:ascii="Arial" w:eastAsia="Times New Roman" w:hAnsi="Arial" w:cs="Arial"/>
          <w:bCs/>
        </w:rPr>
        <w:t xml:space="preserve">Czy z uwagi na zamieszczenie w opisie przedmiotu zamówienia nazwy własnej kosmetyku będącej zastrzeżonym znakiem towarowym konkretnego wytwórcy, Zamawiający dopuści zamiennik o identycznym statusie rejestracyjnym, o takiej samej zawartości substancji czynnych (bez identycznych składników kompozycji zapachowej klasyfikowanych jako alergeny), takiej samej konsystencji, właściwościach aplikacyjnych, o takim samym wskazaniu, takiej samej postaci i formie opakowania (pojemnik plastikowy z zabezpieczeniem), również będący kremem barierowo-ochronnym o działaniu </w:t>
      </w:r>
      <w:proofErr w:type="spellStart"/>
      <w:r w:rsidRPr="003E6A6F">
        <w:rPr>
          <w:rFonts w:ascii="Arial" w:eastAsia="Times New Roman" w:hAnsi="Arial" w:cs="Arial"/>
          <w:bCs/>
        </w:rPr>
        <w:t>pielęgnująco</w:t>
      </w:r>
      <w:proofErr w:type="spellEnd"/>
      <w:r w:rsidRPr="003E6A6F">
        <w:rPr>
          <w:rFonts w:ascii="Arial" w:eastAsia="Times New Roman" w:hAnsi="Arial" w:cs="Arial"/>
          <w:bCs/>
        </w:rPr>
        <w:t xml:space="preserve">-regenerującym, w opakowaniach o masie 250g – po przeliczeniu podanej masy na odpowiednią liczbę opakowań i zaokrągleniu uzyskanego wyniku w górę? </w:t>
      </w:r>
    </w:p>
    <w:p w:rsidR="008E303D" w:rsidRPr="008E303D" w:rsidRDefault="008E303D" w:rsidP="008E303D">
      <w:pPr>
        <w:jc w:val="both"/>
        <w:rPr>
          <w:rFonts w:ascii="Arial" w:eastAsia="Calibri" w:hAnsi="Arial" w:cs="Arial"/>
        </w:rPr>
      </w:pPr>
      <w:r w:rsidRPr="008E303D">
        <w:rPr>
          <w:rFonts w:ascii="Arial" w:eastAsia="Calibri" w:hAnsi="Arial" w:cs="Arial"/>
          <w:u w:val="single"/>
        </w:rPr>
        <w:t>Odp</w:t>
      </w:r>
      <w:r>
        <w:rPr>
          <w:rFonts w:ascii="Arial" w:eastAsia="Calibri" w:hAnsi="Arial" w:cs="Arial"/>
        </w:rPr>
        <w:t xml:space="preserve">. Zgodnie z formularzem asortymentowym i SIWZ </w:t>
      </w:r>
      <w:r w:rsidR="00233D73">
        <w:rPr>
          <w:rFonts w:ascii="Arial" w:eastAsia="Calibri" w:hAnsi="Arial" w:cs="Arial"/>
        </w:rPr>
        <w:t xml:space="preserve"> </w:t>
      </w:r>
      <w:proofErr w:type="spellStart"/>
      <w:r w:rsidR="00233D73">
        <w:rPr>
          <w:rFonts w:ascii="Arial" w:eastAsia="Calibri" w:hAnsi="Arial" w:cs="Arial"/>
        </w:rPr>
        <w:t>rozdz</w:t>
      </w:r>
      <w:proofErr w:type="spellEnd"/>
      <w:r w:rsidR="00233D73">
        <w:rPr>
          <w:rFonts w:ascii="Arial" w:eastAsia="Calibri" w:hAnsi="Arial" w:cs="Arial"/>
        </w:rPr>
        <w:t xml:space="preserve"> .</w:t>
      </w:r>
      <w:r>
        <w:rPr>
          <w:rFonts w:ascii="Arial" w:eastAsia="Calibri" w:hAnsi="Arial" w:cs="Arial"/>
        </w:rPr>
        <w:t xml:space="preserve"> </w:t>
      </w:r>
      <w:r w:rsidR="00233D73">
        <w:rPr>
          <w:rFonts w:ascii="Arial" w:eastAsia="Calibri" w:hAnsi="Arial" w:cs="Arial"/>
        </w:rPr>
        <w:t>I</w:t>
      </w:r>
      <w:r>
        <w:rPr>
          <w:rFonts w:ascii="Arial" w:eastAsia="Calibri" w:hAnsi="Arial" w:cs="Arial"/>
        </w:rPr>
        <w:t>II.p.10</w:t>
      </w:r>
      <w:r w:rsidR="00233D7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- podano przykładową nazwę handlową.</w:t>
      </w:r>
    </w:p>
    <w:p w:rsidR="008105DA" w:rsidRPr="00276FE0" w:rsidRDefault="00276FE0" w:rsidP="008105D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Pytanie 7</w:t>
      </w:r>
    </w:p>
    <w:p w:rsidR="008105DA" w:rsidRPr="0047215C" w:rsidRDefault="008105DA" w:rsidP="008105DA">
      <w:r w:rsidRPr="0047215C">
        <w:t>Czy w trosce o uzyskanie najkorzystniejszych warunków zakupu Zamawiający wyrazi zgodę na zaoferowanie w pakiecie 25 poz. 4,6,9,12,13,24,25  preparatu o takim samym zastosowaniu klinicznym  w workach z dwoma niezależnymi portami, ponieważ:</w:t>
      </w:r>
    </w:p>
    <w:p w:rsidR="008105DA" w:rsidRPr="0047215C" w:rsidRDefault="008105DA" w:rsidP="008105DA">
      <w:r w:rsidRPr="0047215C">
        <w:t xml:space="preserve">zastosowanie opakowań typu worek może w znaczny sposób wpłynąć na zmniejszenie ilości zakażeń związanych z linią naczyniową, ponieważ w celu opróżnienia opakowanie nie wymaga odpowietrzania, czyli wyeliminowana jest droga wnikania patogenów bezpośrednio do organizmu pacjenta </w:t>
      </w:r>
    </w:p>
    <w:p w:rsidR="008105DA" w:rsidRPr="0047215C" w:rsidRDefault="008105DA" w:rsidP="008105DA">
      <w:r w:rsidRPr="0047215C">
        <w:t>redukcja zakażeń ma bezpośredni wpływ na bezpieczeństwo pacjentów, personelu oraz zmniejszenie kosztów, również tych związanych z ewentualnymi roszczeniami ze strony pacjentów</w:t>
      </w:r>
    </w:p>
    <w:p w:rsidR="008105DA" w:rsidRPr="0047215C" w:rsidRDefault="008105DA" w:rsidP="008105DA">
      <w:r w:rsidRPr="0047215C">
        <w:t xml:space="preserve">worki </w:t>
      </w:r>
      <w:proofErr w:type="spellStart"/>
      <w:r w:rsidRPr="0047215C">
        <w:t>Viaflo</w:t>
      </w:r>
      <w:proofErr w:type="spellEnd"/>
      <w:r w:rsidRPr="0047215C">
        <w:t xml:space="preserve"> pakowane są w dodatkowe zewnętrzne opakowanie, dzięki czemu są dodatkowo chronione  przed mechanicznymi uszkodzeniami i biologiczną kontaminacją </w:t>
      </w:r>
    </w:p>
    <w:p w:rsidR="008105DA" w:rsidRPr="0047215C" w:rsidRDefault="008105DA" w:rsidP="008105DA">
      <w:r w:rsidRPr="0047215C">
        <w:t>koszty utylizacji opróżnionych worków są nawet o 50% niższe, niż koszty utylizacji opróżnionych butelek</w:t>
      </w:r>
    </w:p>
    <w:p w:rsidR="008105DA" w:rsidRPr="0047215C" w:rsidRDefault="008105DA" w:rsidP="008105DA">
      <w:r w:rsidRPr="0047215C">
        <w:t xml:space="preserve">składowanie produktów w opakowaniu typu worek wymaga znacznie mniejszej powierzchni magazynowej, ponieważ taka forma opakowania zajmuje mniej </w:t>
      </w:r>
      <w:proofErr w:type="spellStart"/>
      <w:r w:rsidRPr="0047215C">
        <w:t>mniejsca</w:t>
      </w:r>
      <w:proofErr w:type="spellEnd"/>
      <w:r w:rsidRPr="0047215C">
        <w:t>?</w:t>
      </w:r>
    </w:p>
    <w:p w:rsidR="008105DA" w:rsidRPr="0047215C" w:rsidRDefault="008105DA" w:rsidP="008105DA">
      <w:r w:rsidRPr="0047215C">
        <w:lastRenderedPageBreak/>
        <w:t>Powyższa modyfikacja umożliwi przystąpienie do postępowania większej liczbie oferentów, co pozwoli Zamawiającemu na uzyskanie korzystniejszej oferty cenowej.</w:t>
      </w:r>
    </w:p>
    <w:p w:rsidR="008105DA" w:rsidRPr="003A3BEE" w:rsidRDefault="003A3BEE" w:rsidP="008105DA">
      <w:r w:rsidRPr="003A3BEE">
        <w:rPr>
          <w:u w:val="single"/>
        </w:rPr>
        <w:t xml:space="preserve">Odp. </w:t>
      </w:r>
      <w:r>
        <w:rPr>
          <w:u w:val="single"/>
        </w:rPr>
        <w:t xml:space="preserve"> </w:t>
      </w:r>
      <w:r w:rsidRPr="003A3BEE">
        <w:t>Wymagane opakowanie stojące z dwoma portami.</w:t>
      </w:r>
    </w:p>
    <w:p w:rsidR="008105DA" w:rsidRPr="00276FE0" w:rsidRDefault="00276FE0" w:rsidP="008105DA">
      <w:pPr>
        <w:rPr>
          <w:rFonts w:ascii="Arial" w:hAnsi="Arial" w:cs="Arial"/>
          <w:u w:val="single"/>
        </w:rPr>
      </w:pPr>
      <w:r w:rsidRPr="00276FE0">
        <w:rPr>
          <w:rFonts w:ascii="Arial" w:hAnsi="Arial" w:cs="Arial"/>
          <w:u w:val="single"/>
        </w:rPr>
        <w:t>Pytanie 8</w:t>
      </w:r>
    </w:p>
    <w:p w:rsidR="008105DA" w:rsidRPr="0047215C" w:rsidRDefault="008105DA" w:rsidP="008105DA">
      <w:r w:rsidRPr="0047215C">
        <w:t xml:space="preserve">Czy Zamawiający wyrazi zgodę na zaoferowanie w pakiecie 25, pozycji 17,18 preparatu Mannitol o stężeniu 15% w opakowaniu typu worek </w:t>
      </w:r>
      <w:proofErr w:type="spellStart"/>
      <w:r w:rsidRPr="0047215C">
        <w:t>Viaflo</w:t>
      </w:r>
      <w:proofErr w:type="spellEnd"/>
      <w:r w:rsidRPr="0047215C">
        <w:t xml:space="preserve">, o pojemności 100ml, 250ml, ponieważ: </w:t>
      </w:r>
    </w:p>
    <w:p w:rsidR="008105DA" w:rsidRPr="0047215C" w:rsidRDefault="008105DA" w:rsidP="008105DA">
      <w:r w:rsidRPr="0047215C">
        <w:t xml:space="preserve">·              Mannitol 15 % i 20%  mają wskazania do stosowania  w tych samych jednostkach chorobowych a dawkowanie mieści  się  w  rozpiętości  zakresu </w:t>
      </w:r>
      <w:proofErr w:type="spellStart"/>
      <w:r w:rsidRPr="0047215C">
        <w:t>terapetycznego</w:t>
      </w:r>
      <w:proofErr w:type="spellEnd"/>
      <w:r w:rsidRPr="0047215C">
        <w:t xml:space="preserve"> leku </w:t>
      </w:r>
    </w:p>
    <w:p w:rsidR="008105DA" w:rsidRPr="0047215C" w:rsidRDefault="008105DA" w:rsidP="008105DA">
      <w:r w:rsidRPr="0047215C">
        <w:t>·              Roztwory Mannitolu 15%  nie krystalizują podczas przechowywania w temperaturze pokojowej (w przeciwieństwie do mannitolu 20%), a zatem  może być gotowy do użycia bez czasochłonnego  rozpuszczania   w gorącej  kąpieli wodnej</w:t>
      </w:r>
    </w:p>
    <w:p w:rsidR="008105DA" w:rsidRPr="0047215C" w:rsidRDefault="008105DA" w:rsidP="008105DA">
      <w:r w:rsidRPr="0047215C">
        <w:t xml:space="preserve">·              Nadruk informacji o leku  na worku </w:t>
      </w:r>
      <w:proofErr w:type="spellStart"/>
      <w:r w:rsidRPr="0047215C">
        <w:t>Viaflo</w:t>
      </w:r>
      <w:proofErr w:type="spellEnd"/>
      <w:r w:rsidRPr="0047215C">
        <w:t xml:space="preserve">  zabezpiecza użytkownika przed  odklejeniem  etykiety oznakowania leku przez co zmniejsza  możliwość  </w:t>
      </w:r>
      <w:proofErr w:type="spellStart"/>
      <w:r w:rsidRPr="0047215C">
        <w:t>wystapienia</w:t>
      </w:r>
      <w:proofErr w:type="spellEnd"/>
      <w:r w:rsidRPr="0047215C">
        <w:t xml:space="preserve"> pomyłki </w:t>
      </w:r>
    </w:p>
    <w:p w:rsidR="008105DA" w:rsidRPr="0047215C" w:rsidRDefault="008105DA" w:rsidP="008105DA">
      <w:r w:rsidRPr="0047215C">
        <w:t xml:space="preserve">Mannitol 15% w worku </w:t>
      </w:r>
      <w:proofErr w:type="spellStart"/>
      <w:r w:rsidRPr="0047215C">
        <w:t>Viaflo</w:t>
      </w:r>
      <w:proofErr w:type="spellEnd"/>
      <w:r w:rsidRPr="0047215C">
        <w:t>  eliminuje  ryzyko  stłuczenia opakowania oraz zapewnia łatwość zawieszenia przy pacjencie ze względu na wieszak stanowiący integralną część worka.</w:t>
      </w:r>
    </w:p>
    <w:p w:rsidR="008105DA" w:rsidRPr="0047215C" w:rsidRDefault="003A3BEE" w:rsidP="008105DA">
      <w:r w:rsidRPr="003A3BEE">
        <w:rPr>
          <w:u w:val="single"/>
        </w:rPr>
        <w:t>Odp.</w:t>
      </w:r>
      <w:r>
        <w:t xml:space="preserve"> Wymagane stężenie 20 % ,pojemność 100 i 250 ml.</w:t>
      </w:r>
    </w:p>
    <w:p w:rsidR="008105DA" w:rsidRPr="00276FE0" w:rsidRDefault="00276FE0" w:rsidP="008105DA">
      <w:pPr>
        <w:rPr>
          <w:rFonts w:ascii="Arial" w:hAnsi="Arial" w:cs="Arial"/>
          <w:u w:val="single"/>
        </w:rPr>
      </w:pPr>
      <w:r w:rsidRPr="00276FE0">
        <w:rPr>
          <w:rFonts w:ascii="Arial" w:hAnsi="Arial" w:cs="Arial"/>
          <w:u w:val="single"/>
        </w:rPr>
        <w:t>Pytanie 9</w:t>
      </w:r>
    </w:p>
    <w:p w:rsidR="008105DA" w:rsidRPr="0047215C" w:rsidRDefault="008105DA" w:rsidP="008105DA">
      <w:r w:rsidRPr="0047215C">
        <w:t xml:space="preserve">Czy Zamawiający wyrazi zgodę na zaoferowanie w pakiecie 25 poz. 21 nowoczesnego płynu wieloelektrolitowego </w:t>
      </w:r>
      <w:proofErr w:type="spellStart"/>
      <w:r w:rsidRPr="0047215C">
        <w:t>Plasmalyte</w:t>
      </w:r>
      <w:proofErr w:type="spellEnd"/>
      <w:r w:rsidRPr="0047215C">
        <w:t xml:space="preserve"> 500ml w opakowaniu worek </w:t>
      </w:r>
      <w:proofErr w:type="spellStart"/>
      <w:r w:rsidRPr="0047215C">
        <w:t>Viaflo</w:t>
      </w:r>
      <w:proofErr w:type="spellEnd"/>
      <w:r w:rsidRPr="0047215C">
        <w:t>?</w:t>
      </w:r>
    </w:p>
    <w:p w:rsidR="008105DA" w:rsidRPr="0047215C" w:rsidRDefault="008105DA" w:rsidP="008105DA">
      <w:r w:rsidRPr="0047215C">
        <w:t>Uzasadnienie:</w:t>
      </w:r>
    </w:p>
    <w:p w:rsidR="008105DA" w:rsidRPr="0047215C" w:rsidRDefault="008105DA" w:rsidP="008105DA">
      <w:proofErr w:type="spellStart"/>
      <w:r w:rsidRPr="0047215C">
        <w:t>PlasmaLyte</w:t>
      </w:r>
      <w:proofErr w:type="spellEnd"/>
      <w:r w:rsidRPr="0047215C">
        <w:t xml:space="preserve"> jest izotonicznym płynem wieloelektrolitowym o fizjologicznym składzie i fizjologicznym </w:t>
      </w:r>
      <w:proofErr w:type="spellStart"/>
      <w:r w:rsidRPr="0047215C">
        <w:t>Ph</w:t>
      </w:r>
      <w:proofErr w:type="spellEnd"/>
      <w:r w:rsidRPr="0047215C">
        <w:t xml:space="preserve"> oraz fizjologicznej </w:t>
      </w:r>
      <w:proofErr w:type="spellStart"/>
      <w:r w:rsidRPr="0047215C">
        <w:t>osmolmarności</w:t>
      </w:r>
      <w:proofErr w:type="spellEnd"/>
      <w:r w:rsidRPr="0047215C">
        <w:t xml:space="preserve">. Elektrolity  </w:t>
      </w:r>
      <w:proofErr w:type="spellStart"/>
      <w:r w:rsidRPr="0047215C">
        <w:t>wchodzace</w:t>
      </w:r>
      <w:proofErr w:type="spellEnd"/>
      <w:r w:rsidRPr="0047215C">
        <w:t xml:space="preserve"> w skład  </w:t>
      </w:r>
      <w:proofErr w:type="spellStart"/>
      <w:r w:rsidRPr="0047215C">
        <w:t>Plasmalyte</w:t>
      </w:r>
      <w:proofErr w:type="spellEnd"/>
      <w:r w:rsidRPr="0047215C">
        <w:t xml:space="preserve"> </w:t>
      </w:r>
      <w:proofErr w:type="spellStart"/>
      <w:r w:rsidRPr="0047215C">
        <w:t>sa</w:t>
      </w:r>
      <w:proofErr w:type="spellEnd"/>
      <w:r w:rsidRPr="0047215C">
        <w:t xml:space="preserve"> tak dobrane, aby odpowiadały składowi osocza. </w:t>
      </w:r>
    </w:p>
    <w:p w:rsidR="008105DA" w:rsidRPr="0047215C" w:rsidRDefault="008105DA" w:rsidP="008105DA">
      <w:r w:rsidRPr="0047215C">
        <w:t>Posiada podwójny układ buforowy (octan/</w:t>
      </w:r>
      <w:proofErr w:type="spellStart"/>
      <w:r w:rsidRPr="0047215C">
        <w:t>glukonian</w:t>
      </w:r>
      <w:proofErr w:type="spellEnd"/>
      <w:r w:rsidRPr="0047215C">
        <w:t xml:space="preserve">). Nie zawiera jonów wapnia, co zwiększa kompatybilność z krwią i lekami. </w:t>
      </w:r>
      <w:proofErr w:type="spellStart"/>
      <w:r w:rsidRPr="0047215C">
        <w:t>PlasmaLyte</w:t>
      </w:r>
      <w:proofErr w:type="spellEnd"/>
      <w:r w:rsidRPr="0047215C">
        <w:t xml:space="preserve">  posiada  w składzie elektrolitowym  (w </w:t>
      </w:r>
      <w:proofErr w:type="spellStart"/>
      <w:r w:rsidRPr="0047215C">
        <w:t>mmol</w:t>
      </w:r>
      <w:proofErr w:type="spellEnd"/>
      <w:r w:rsidRPr="0047215C">
        <w:t>/l): Cl  98, Na 140, K 5.</w:t>
      </w:r>
    </w:p>
    <w:p w:rsidR="008105DA" w:rsidRPr="0047215C" w:rsidRDefault="002D53DF" w:rsidP="008105DA">
      <w:r w:rsidRPr="002D53DF">
        <w:rPr>
          <w:u w:val="single"/>
        </w:rPr>
        <w:t>Odp.</w:t>
      </w:r>
      <w:r>
        <w:t xml:space="preserve"> Wymagane opakowanie stojące 500 ml.</w:t>
      </w:r>
    </w:p>
    <w:p w:rsidR="008105DA" w:rsidRPr="00276FE0" w:rsidRDefault="00276FE0" w:rsidP="008105DA">
      <w:pPr>
        <w:rPr>
          <w:rFonts w:ascii="Arial" w:hAnsi="Arial" w:cs="Arial"/>
          <w:u w:val="single"/>
        </w:rPr>
      </w:pPr>
      <w:r w:rsidRPr="00276FE0">
        <w:rPr>
          <w:rFonts w:ascii="Arial" w:hAnsi="Arial" w:cs="Arial"/>
          <w:u w:val="single"/>
        </w:rPr>
        <w:t>Pytanie 10</w:t>
      </w:r>
    </w:p>
    <w:p w:rsidR="008105DA" w:rsidRDefault="008105DA" w:rsidP="008105DA">
      <w:r w:rsidRPr="0047215C">
        <w:t xml:space="preserve">Czy w trosce o uzyskanie najkorzystniejszych warunków zakupu Zamawiający wyrazi zgodę na zaoferowanie w pakiecie 26 poz. 23,24,25,26,27,28  preparatu o takim samym zastosowaniu klinicznym  w workach z dwoma niezależnymi portami, </w:t>
      </w:r>
      <w:proofErr w:type="spellStart"/>
      <w:r w:rsidRPr="0047215C">
        <w:t>ponieważ:zastosowanie</w:t>
      </w:r>
      <w:proofErr w:type="spellEnd"/>
      <w:r w:rsidRPr="0047215C">
        <w:t xml:space="preserve"> opakowań typu worek może w znaczny sposób wpłynąć na zmniejszenie ilości zakażeń związanych z linią naczyniową, Redukcja zakażeń ma bezpośredni wpływ na bezpieczeństwo pacjentów, personelu oraz zmniejszenie kosztów, również tych związanych z ewentualnymi roszczeniami ze strony pacjentów. Koszty </w:t>
      </w:r>
      <w:r w:rsidRPr="0047215C">
        <w:lastRenderedPageBreak/>
        <w:t>utylizacji  i składowania odpadów opróżnionych worków są niższe niż  opróżnionych butelek i maja mniejszą kubaturę.</w:t>
      </w:r>
    </w:p>
    <w:p w:rsidR="002D53DF" w:rsidRDefault="002D53DF" w:rsidP="008105DA">
      <w:r w:rsidRPr="002D53DF">
        <w:rPr>
          <w:u w:val="single"/>
        </w:rPr>
        <w:t>Odp.</w:t>
      </w:r>
      <w:r>
        <w:t xml:space="preserve"> Wymagane opakowanie stojące z dwoma portami.</w:t>
      </w:r>
    </w:p>
    <w:p w:rsidR="00276FE0" w:rsidRPr="00276FE0" w:rsidRDefault="00276FE0" w:rsidP="008105DA">
      <w:pPr>
        <w:rPr>
          <w:rFonts w:ascii="Arial" w:hAnsi="Arial" w:cs="Arial"/>
          <w:u w:val="single"/>
        </w:rPr>
      </w:pPr>
      <w:r w:rsidRPr="00276FE0">
        <w:rPr>
          <w:rFonts w:ascii="Arial" w:hAnsi="Arial" w:cs="Arial"/>
          <w:u w:val="single"/>
        </w:rPr>
        <w:t>Pytanie 11</w:t>
      </w:r>
    </w:p>
    <w:p w:rsidR="00CD6B91" w:rsidRPr="00CD6B91" w:rsidRDefault="00CD6B91" w:rsidP="00CD6B91">
      <w:pPr>
        <w:jc w:val="both"/>
        <w:rPr>
          <w:rFonts w:ascii="Calibri" w:eastAsia="Calibri" w:hAnsi="Calibri" w:cs="Times New Roman"/>
          <w:b/>
          <w:u w:val="single"/>
        </w:rPr>
      </w:pPr>
      <w:r w:rsidRPr="00CD6B91">
        <w:rPr>
          <w:rFonts w:ascii="Calibri" w:eastAsia="Calibri" w:hAnsi="Calibri" w:cs="Times New Roman"/>
          <w:b/>
          <w:u w:val="single"/>
        </w:rPr>
        <w:t>Poniższe pytania dotyczą opisu przedmiotu zamówienia w Pakiecie 13 poz. 1, 87, 125 i 155 w przedmiotowym postępowaniu:</w:t>
      </w:r>
    </w:p>
    <w:p w:rsidR="00CD6B91" w:rsidRPr="002930D4" w:rsidRDefault="00CD6B91" w:rsidP="002930D4">
      <w:pPr>
        <w:pStyle w:val="Akapitzlist"/>
        <w:numPr>
          <w:ilvl w:val="0"/>
          <w:numId w:val="5"/>
        </w:numPr>
        <w:tabs>
          <w:tab w:val="left" w:pos="6521"/>
        </w:tabs>
        <w:jc w:val="both"/>
        <w:rPr>
          <w:rFonts w:ascii="Calibri" w:eastAsia="Calibri" w:hAnsi="Calibri" w:cs="Times New Roman"/>
          <w:b/>
          <w:color w:val="000000"/>
        </w:rPr>
      </w:pPr>
      <w:r w:rsidRPr="002930D4">
        <w:rPr>
          <w:rFonts w:ascii="Calibri" w:eastAsia="Calibri" w:hAnsi="Calibri" w:cs="Times New Roman"/>
          <w:b/>
        </w:rPr>
        <w:t xml:space="preserve">Z uwagi na fakt, że opis przedmiotu zamówienia – podając nazwy własne produktów, będące zastrzeżonym znakiem towarowym konkretnego producenta - specyfikuje w każdej z w/w pozycji wyłącznie paski testowe jednego, konkretnego wytwórcy, co ogranicza konkurencję asortymentowo-cenową w przedmiotowym postępowaniu do wyrobu tego wytwórcy, uzyskującego w ten sposób monopol na kształtowanie ceny oferty – samodzielnie lub poprzez podmioty pozostające z nim w stałych stosunkach gospodarczych, zwracamy uwagę, </w:t>
      </w:r>
      <w:r w:rsidRPr="002930D4">
        <w:rPr>
          <w:rFonts w:ascii="Calibri" w:eastAsia="Calibri" w:hAnsi="Calibri" w:cs="Calibri"/>
          <w:b/>
          <w:bCs/>
          <w:color w:val="000000"/>
        </w:rPr>
        <w:t xml:space="preserve">że nie istnieje realna konieczność posługiwania się paskami testowymi i </w:t>
      </w:r>
      <w:proofErr w:type="spellStart"/>
      <w:r w:rsidRPr="002930D4">
        <w:rPr>
          <w:rFonts w:ascii="Calibri" w:eastAsia="Calibri" w:hAnsi="Calibri" w:cs="Calibri"/>
          <w:b/>
          <w:bCs/>
          <w:color w:val="000000"/>
        </w:rPr>
        <w:t>glukometrami</w:t>
      </w:r>
      <w:proofErr w:type="spellEnd"/>
      <w:r w:rsidRPr="002930D4">
        <w:rPr>
          <w:rFonts w:ascii="Calibri" w:eastAsia="Calibri" w:hAnsi="Calibri" w:cs="Calibri"/>
          <w:b/>
          <w:bCs/>
          <w:color w:val="000000"/>
        </w:rPr>
        <w:t xml:space="preserve"> konkretnego producenta, gdyż jest to drobny, przenośny sprzęt nie wymagający szczególnych, profesjonalnych kwalifikacji jeśli chodzi o obsługę (przeznaczony przede wszystkim dla użytkowników nieprofesjonalnych), który może być w każdej chwili zastąpiony sprzętem innego producenta.</w:t>
      </w:r>
      <w:r w:rsidRPr="002930D4">
        <w:rPr>
          <w:rFonts w:ascii="Calibri" w:eastAsia="Calibri" w:hAnsi="Calibri" w:cs="Calibri"/>
          <w:bCs/>
          <w:color w:val="000000"/>
        </w:rPr>
        <w:t xml:space="preserve"> </w:t>
      </w:r>
      <w:r w:rsidRPr="002930D4">
        <w:rPr>
          <w:rFonts w:ascii="Calibri" w:eastAsia="Calibri" w:hAnsi="Calibri" w:cs="Calibri"/>
          <w:b/>
        </w:rPr>
        <w:t xml:space="preserve">Mając na uwadze powyższe zwracamy się z zapytaniem czy Zamawiający, postępując zgodnie z obowiązującymi przepisami ustawy Prawo zamówień publicznych (art. 7 i 29 </w:t>
      </w:r>
      <w:proofErr w:type="spellStart"/>
      <w:r w:rsidRPr="002930D4">
        <w:rPr>
          <w:rFonts w:ascii="Calibri" w:eastAsia="Calibri" w:hAnsi="Calibri" w:cs="Calibri"/>
          <w:b/>
        </w:rPr>
        <w:t>Pzp</w:t>
      </w:r>
      <w:proofErr w:type="spellEnd"/>
      <w:r w:rsidRPr="002930D4">
        <w:rPr>
          <w:rFonts w:ascii="Calibri" w:eastAsia="Calibri" w:hAnsi="Calibri" w:cs="Calibri"/>
          <w:b/>
        </w:rPr>
        <w:t xml:space="preserve">) dopuszcza konkurencyjne </w:t>
      </w:r>
      <w:r w:rsidRPr="002930D4">
        <w:rPr>
          <w:rFonts w:ascii="Calibri" w:eastAsia="Calibri" w:hAnsi="Calibri" w:cs="Calibri"/>
          <w:b/>
          <w:color w:val="000000"/>
        </w:rPr>
        <w:t xml:space="preserve">paski testowe (wraz z przekazaniem kompatybilnych z nimi </w:t>
      </w:r>
      <w:proofErr w:type="spellStart"/>
      <w:r w:rsidRPr="002930D4">
        <w:rPr>
          <w:rFonts w:ascii="Calibri" w:eastAsia="Calibri" w:hAnsi="Calibri" w:cs="Calibri"/>
          <w:b/>
          <w:color w:val="000000"/>
        </w:rPr>
        <w:t>glukometrów</w:t>
      </w:r>
      <w:proofErr w:type="spellEnd"/>
      <w:r w:rsidRPr="002930D4">
        <w:rPr>
          <w:rFonts w:ascii="Calibri" w:eastAsia="Calibri" w:hAnsi="Calibri" w:cs="Calibri"/>
          <w:b/>
          <w:color w:val="000000"/>
        </w:rPr>
        <w:t xml:space="preserve">) charakteryzujące się opisanymi poniżej cechami: a) </w:t>
      </w:r>
      <w:r w:rsidRPr="002930D4">
        <w:rPr>
          <w:rFonts w:ascii="Calibri" w:eastAsia="Calibri" w:hAnsi="Calibri" w:cs="Calibri"/>
          <w:b/>
        </w:rPr>
        <w:t>Funkcja Auto-</w:t>
      </w:r>
      <w:proofErr w:type="spellStart"/>
      <w:r w:rsidRPr="002930D4">
        <w:rPr>
          <w:rFonts w:ascii="Calibri" w:eastAsia="Calibri" w:hAnsi="Calibri" w:cs="Calibri"/>
          <w:b/>
        </w:rPr>
        <w:t>coding</w:t>
      </w:r>
      <w:proofErr w:type="spellEnd"/>
      <w:r w:rsidRPr="002930D4">
        <w:rPr>
          <w:rFonts w:ascii="Calibri" w:eastAsia="Calibri" w:hAnsi="Calibri" w:cs="Calibri"/>
          <w:b/>
        </w:rPr>
        <w:t xml:space="preserve">; b) Automatyczne wykrywanie zbyt małej ilości krwi wprowadzonej do paska wraz z wyświetleniem odpowiedniego komunikatu informującego o niecałkowitym wypełnieniu paska na wyświetlaczu </w:t>
      </w:r>
      <w:proofErr w:type="spellStart"/>
      <w:r w:rsidRPr="002930D4">
        <w:rPr>
          <w:rFonts w:ascii="Calibri" w:eastAsia="Calibri" w:hAnsi="Calibri" w:cs="Calibri"/>
          <w:b/>
        </w:rPr>
        <w:t>glukometru</w:t>
      </w:r>
      <w:proofErr w:type="spellEnd"/>
      <w:r w:rsidRPr="002930D4">
        <w:rPr>
          <w:rFonts w:ascii="Calibri" w:eastAsia="Calibri" w:hAnsi="Calibri" w:cs="Calibri"/>
          <w:b/>
        </w:rPr>
        <w:t xml:space="preserve">; c) Enzym oksydaza glukozy; d) zakres wyników pomiaru w jednostkach 20-600mg/dl; e) Czas pomiaru od chwili wprowadzenia próbki 5s i wielkość próbki 0,5 </w:t>
      </w:r>
      <w:proofErr w:type="spellStart"/>
      <w:r w:rsidRPr="002930D4">
        <w:rPr>
          <w:rFonts w:ascii="Calibri" w:eastAsia="Calibri" w:hAnsi="Calibri" w:cs="Calibri"/>
          <w:b/>
        </w:rPr>
        <w:t>mikrolitra</w:t>
      </w:r>
      <w:proofErr w:type="spellEnd"/>
      <w:r w:rsidRPr="002930D4">
        <w:rPr>
          <w:rFonts w:ascii="Calibri" w:eastAsia="Calibri" w:hAnsi="Calibri" w:cs="Calibri"/>
          <w:b/>
        </w:rPr>
        <w:t xml:space="preserve">; f) zakres hematokrytu 10-70%, umożliwiający wykonywanie pomiarów we krwi włośniczkowej osób dorosłych i noworodków; g) bezdotykowy wyrzut zużytego paska po pomiarze za pomocą przycisku; h) stabilność pasków testowych i płynów kontrolnych wynosząca 6 miesięcy po otwarciu fiolki; i) temperatura działania pasków testowych w zakresie 5-45⁰C, przechowywanie do 30⁰C; j) podświetlany ekran </w:t>
      </w:r>
      <w:proofErr w:type="spellStart"/>
      <w:r w:rsidRPr="002930D4">
        <w:rPr>
          <w:rFonts w:ascii="Calibri" w:eastAsia="Calibri" w:hAnsi="Calibri" w:cs="Calibri"/>
          <w:b/>
        </w:rPr>
        <w:t>glukometru</w:t>
      </w:r>
      <w:proofErr w:type="spellEnd"/>
      <w:r w:rsidRPr="002930D4">
        <w:rPr>
          <w:rFonts w:ascii="Calibri" w:eastAsia="Calibri" w:hAnsi="Calibri" w:cs="Calibri"/>
          <w:b/>
        </w:rPr>
        <w:t>; k) paski posiadające wszelkie dopuszczenia i certyfikaty aktualnie wymagane zgodnie z polskim prawem?</w:t>
      </w:r>
      <w:r w:rsidRPr="002930D4">
        <w:rPr>
          <w:rFonts w:ascii="Calibri" w:eastAsia="Calibri" w:hAnsi="Calibri" w:cs="Times New Roman"/>
          <w:b/>
          <w:color w:val="000000"/>
        </w:rPr>
        <w:t xml:space="preserve"> </w:t>
      </w:r>
    </w:p>
    <w:p w:rsidR="002930D4" w:rsidRPr="002930D4" w:rsidRDefault="002930D4" w:rsidP="002930D4">
      <w:pPr>
        <w:tabs>
          <w:tab w:val="left" w:pos="6521"/>
        </w:tabs>
        <w:jc w:val="both"/>
        <w:rPr>
          <w:rFonts w:ascii="Calibri" w:eastAsia="Calibri" w:hAnsi="Calibri" w:cs="Calibri"/>
          <w:bCs/>
          <w:color w:val="000000"/>
        </w:rPr>
      </w:pPr>
      <w:r w:rsidRPr="002930D4">
        <w:rPr>
          <w:rFonts w:ascii="Calibri" w:eastAsia="Calibri" w:hAnsi="Calibri" w:cs="Calibri"/>
          <w:bCs/>
          <w:color w:val="000000"/>
          <w:u w:val="single"/>
        </w:rPr>
        <w:t>Odp.</w:t>
      </w:r>
      <w:r>
        <w:rPr>
          <w:rFonts w:ascii="Calibri" w:eastAsia="Calibri" w:hAnsi="Calibri" w:cs="Calibri"/>
          <w:bCs/>
          <w:color w:val="000000"/>
        </w:rPr>
        <w:t xml:space="preserve">  Zamawiający dopuszcza</w:t>
      </w:r>
    </w:p>
    <w:p w:rsidR="00CD6B91" w:rsidRPr="002930D4" w:rsidRDefault="00CD6B91" w:rsidP="002930D4">
      <w:pPr>
        <w:pStyle w:val="Akapitzlist"/>
        <w:numPr>
          <w:ilvl w:val="0"/>
          <w:numId w:val="5"/>
        </w:numPr>
        <w:jc w:val="both"/>
        <w:rPr>
          <w:rFonts w:ascii="Calibri" w:eastAsia="Calibri" w:hAnsi="Calibri" w:cs="Times New Roman"/>
          <w:b/>
        </w:rPr>
      </w:pPr>
      <w:r w:rsidRPr="002930D4">
        <w:rPr>
          <w:rFonts w:ascii="Calibri" w:eastAsia="Calibri" w:hAnsi="Calibri" w:cs="Times New Roman"/>
          <w:b/>
          <w:color w:val="000000"/>
        </w:rPr>
        <w:t xml:space="preserve">Czy Zamawiający dopuszcza złożenie oferty w postaci wysokiej jakości pasków testowych do </w:t>
      </w:r>
      <w:proofErr w:type="spellStart"/>
      <w:r w:rsidRPr="002930D4">
        <w:rPr>
          <w:rFonts w:ascii="Calibri" w:eastAsia="Calibri" w:hAnsi="Calibri" w:cs="Times New Roman"/>
          <w:b/>
          <w:color w:val="000000"/>
        </w:rPr>
        <w:t>glukometrów</w:t>
      </w:r>
      <w:proofErr w:type="spellEnd"/>
      <w:r w:rsidRPr="002930D4">
        <w:rPr>
          <w:rFonts w:ascii="Calibri" w:eastAsia="Calibri" w:hAnsi="Calibri" w:cs="Times New Roman"/>
          <w:b/>
          <w:color w:val="000000"/>
        </w:rPr>
        <w:t xml:space="preserve"> (wraz z przekazaniem kompatybilnych </w:t>
      </w:r>
      <w:proofErr w:type="spellStart"/>
      <w:r w:rsidRPr="002930D4">
        <w:rPr>
          <w:rFonts w:ascii="Calibri" w:eastAsia="Calibri" w:hAnsi="Calibri" w:cs="Times New Roman"/>
          <w:b/>
          <w:color w:val="000000"/>
        </w:rPr>
        <w:t>glukometrów</w:t>
      </w:r>
      <w:proofErr w:type="spellEnd"/>
      <w:r w:rsidRPr="002930D4">
        <w:rPr>
          <w:rFonts w:ascii="Calibri" w:eastAsia="Calibri" w:hAnsi="Calibri" w:cs="Times New Roman"/>
          <w:b/>
          <w:color w:val="000000"/>
        </w:rPr>
        <w:t xml:space="preserve">) charakteryzujących się opisanymi poniżej parametrami: </w:t>
      </w:r>
      <w:r w:rsidRPr="002930D4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a) </w:t>
      </w:r>
      <w:r w:rsidRPr="002930D4">
        <w:rPr>
          <w:rFonts w:ascii="Calibri" w:eastAsia="Calibri" w:hAnsi="Calibri" w:cs="Times New Roman"/>
          <w:b/>
        </w:rPr>
        <w:t>Funkcja Auto-</w:t>
      </w:r>
      <w:proofErr w:type="spellStart"/>
      <w:r w:rsidRPr="002930D4">
        <w:rPr>
          <w:rFonts w:ascii="Calibri" w:eastAsia="Calibri" w:hAnsi="Calibri" w:cs="Times New Roman"/>
          <w:b/>
        </w:rPr>
        <w:t>coding</w:t>
      </w:r>
      <w:proofErr w:type="spellEnd"/>
      <w:r w:rsidRPr="002930D4">
        <w:rPr>
          <w:rFonts w:ascii="Calibri" w:eastAsia="Calibri" w:hAnsi="Calibri" w:cs="Times New Roman"/>
          <w:b/>
        </w:rPr>
        <w:t xml:space="preserve"> eliminująca konieczność kodowania; b) Automatyczne wykrywanie zbyt małej ilości krwi wprowadzonej do paska wraz z wyświetleniem odpowiedniego komunikatu informującego o niecałkowitym wypełnieniu paska na wyświetlaczu </w:t>
      </w:r>
      <w:proofErr w:type="spellStart"/>
      <w:r w:rsidRPr="002930D4">
        <w:rPr>
          <w:rFonts w:ascii="Calibri" w:eastAsia="Calibri" w:hAnsi="Calibri" w:cs="Times New Roman"/>
          <w:b/>
        </w:rPr>
        <w:t>glukometru</w:t>
      </w:r>
      <w:proofErr w:type="spellEnd"/>
      <w:r w:rsidRPr="002930D4">
        <w:rPr>
          <w:rFonts w:ascii="Calibri" w:eastAsia="Calibri" w:hAnsi="Calibri" w:cs="Times New Roman"/>
          <w:b/>
        </w:rPr>
        <w:t xml:space="preserve">; c) Enzym dehydrogenaza glukozy GDH-FAD; d) Kapilara samozasysająca krew; e-f) Wyrzut zużytego paska za pomocą przycisku, dobrze oznaczone kontrastowym wskaźnikiem miejsce zasysania krwi w przedniej części </w:t>
      </w:r>
      <w:r w:rsidRPr="002930D4">
        <w:rPr>
          <w:rFonts w:ascii="Calibri" w:eastAsia="Calibri" w:hAnsi="Calibri" w:cs="Times New Roman"/>
          <w:b/>
        </w:rPr>
        <w:lastRenderedPageBreak/>
        <w:t xml:space="preserve">paska nieco poniżej szczytowej, znajdujące się poza obrębem </w:t>
      </w:r>
      <w:proofErr w:type="spellStart"/>
      <w:r w:rsidRPr="002930D4">
        <w:rPr>
          <w:rFonts w:ascii="Calibri" w:eastAsia="Calibri" w:hAnsi="Calibri" w:cs="Times New Roman"/>
          <w:b/>
        </w:rPr>
        <w:t>glukometru</w:t>
      </w:r>
      <w:proofErr w:type="spellEnd"/>
      <w:r w:rsidRPr="002930D4">
        <w:rPr>
          <w:rFonts w:ascii="Calibri" w:eastAsia="Calibri" w:hAnsi="Calibri" w:cs="Times New Roman"/>
          <w:b/>
        </w:rPr>
        <w:t>; g) Możliwość wykorzystania jednostkowego opakowania pasków testowych w ciągu 8 miesięcy (opakowanie jednostkowe zawiera 2 fiolki x 25 pasków, przy czym każda z fiolek może być zużyta w a ciągu 4 miesięcy); h) zakres hematokrytu 20-60% i zakres pomiarowy 10-900 mg/dl przy dokładności wyników zgodnej z wytycznymi aktualnej normy ISO 15197; i) zalecana temperatura przechowywania pasków w zakresie 1-32°j) paski posiadające wszelkie dopuszczenia i certyfikaty aktualnie wymagane zgodnie z polskim prawem.</w:t>
      </w:r>
    </w:p>
    <w:p w:rsidR="002930D4" w:rsidRPr="003C3D28" w:rsidRDefault="002930D4" w:rsidP="003C3D28">
      <w:pPr>
        <w:tabs>
          <w:tab w:val="left" w:pos="6521"/>
        </w:tabs>
        <w:jc w:val="both"/>
        <w:rPr>
          <w:rFonts w:ascii="Calibri" w:eastAsia="Calibri" w:hAnsi="Calibri" w:cs="Calibri"/>
          <w:bCs/>
          <w:color w:val="000000"/>
        </w:rPr>
      </w:pPr>
      <w:r w:rsidRPr="002930D4">
        <w:rPr>
          <w:rFonts w:ascii="Calibri" w:eastAsia="Calibri" w:hAnsi="Calibri" w:cs="Calibri"/>
          <w:bCs/>
          <w:color w:val="000000"/>
          <w:u w:val="single"/>
        </w:rPr>
        <w:t>Odp.</w:t>
      </w:r>
      <w:r w:rsidRPr="002930D4">
        <w:rPr>
          <w:rFonts w:ascii="Calibri" w:eastAsia="Calibri" w:hAnsi="Calibri" w:cs="Calibri"/>
          <w:bCs/>
          <w:color w:val="000000"/>
        </w:rPr>
        <w:t xml:space="preserve">  Zamawiający dopuszcza</w:t>
      </w:r>
    </w:p>
    <w:p w:rsidR="00CC424C" w:rsidRPr="00CC424C" w:rsidRDefault="00CC424C" w:rsidP="00CC42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u w:val="single"/>
          <w:lang w:eastAsia="pl-PL"/>
        </w:rPr>
      </w:pPr>
      <w:r w:rsidRPr="00CC424C">
        <w:rPr>
          <w:rFonts w:ascii="Arial" w:eastAsia="Times New Roman" w:hAnsi="Arial" w:cs="Arial"/>
          <w:bCs/>
          <w:u w:val="single"/>
          <w:lang w:eastAsia="pl-PL"/>
        </w:rPr>
        <w:t>Pytanie 12</w:t>
      </w:r>
    </w:p>
    <w:p w:rsidR="00CC424C" w:rsidRPr="00CC424C" w:rsidRDefault="00CC424C" w:rsidP="00CC42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C42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 pakietu nr 9</w:t>
      </w:r>
    </w:p>
    <w:p w:rsidR="00CC424C" w:rsidRPr="00CC424C" w:rsidRDefault="00CC424C" w:rsidP="00CC42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C424C" w:rsidRPr="00CC424C" w:rsidRDefault="00CC424C" w:rsidP="00CC424C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C42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Czy Zamawiający dopuści w pakiecie 9, w pozycji 1,2 i 3 preparat </w:t>
      </w:r>
      <w:proofErr w:type="spellStart"/>
      <w:r w:rsidRPr="00CC42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Nebbud</w:t>
      </w:r>
      <w:proofErr w:type="spellEnd"/>
      <w:r w:rsidRPr="00CC42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zawiesina do nebulizacji?</w:t>
      </w:r>
    </w:p>
    <w:p w:rsidR="00CC424C" w:rsidRPr="00CC424C" w:rsidRDefault="002930D4" w:rsidP="00CC42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930D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Odp.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Tak</w:t>
      </w:r>
    </w:p>
    <w:p w:rsidR="00CC424C" w:rsidRPr="00CC424C" w:rsidRDefault="00CC424C" w:rsidP="00CC42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C424C" w:rsidRPr="00CC424C" w:rsidRDefault="00CC424C" w:rsidP="00CC42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C42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Czy Zamawiający wymaga, aby oferowany preparat w pakiecie 9 w pozycji 1,2 i 3 </w:t>
      </w:r>
      <w:proofErr w:type="spellStart"/>
      <w:r w:rsidRPr="00CC42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Budesonid</w:t>
      </w:r>
      <w:proofErr w:type="spellEnd"/>
      <w:r w:rsidRPr="00CC42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był produkowany w technologii </w:t>
      </w:r>
      <w:proofErr w:type="spellStart"/>
      <w:r w:rsidRPr="00CC42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Steri</w:t>
      </w:r>
      <w:proofErr w:type="spellEnd"/>
      <w:r w:rsidRPr="00CC42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CC42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Nebb</w:t>
      </w:r>
      <w:proofErr w:type="spellEnd"/>
      <w:r w:rsidRPr="00CC42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gwarantujący preparat wolny od substancji konserwujących?</w:t>
      </w:r>
    </w:p>
    <w:p w:rsidR="00CC424C" w:rsidRPr="002D53DF" w:rsidRDefault="002930D4" w:rsidP="00CC42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53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Odp. </w:t>
      </w:r>
      <w:r w:rsidR="002D53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</w:t>
      </w:r>
      <w:r w:rsidR="002D53DF" w:rsidRPr="002D53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</w:t>
      </w:r>
    </w:p>
    <w:p w:rsidR="00CC424C" w:rsidRPr="002D53DF" w:rsidRDefault="00CC424C" w:rsidP="00CC42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Helvetica"/>
          <w:sz w:val="24"/>
          <w:szCs w:val="16"/>
          <w:lang w:eastAsia="pl-PL"/>
        </w:rPr>
      </w:pPr>
      <w:r w:rsidRPr="00CC42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Czy Zamawiający wymaga, aby oferowany preparat </w:t>
      </w:r>
      <w:proofErr w:type="spellStart"/>
      <w:r w:rsidRPr="00CC42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Budesonid</w:t>
      </w:r>
      <w:proofErr w:type="spellEnd"/>
      <w:r w:rsidRPr="00CC42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był w postaci ampułek?</w:t>
      </w:r>
    </w:p>
    <w:p w:rsidR="002D53DF" w:rsidRPr="002D53DF" w:rsidRDefault="002D53DF" w:rsidP="002D53D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53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Odp.</w:t>
      </w:r>
      <w:r w:rsidRPr="002D53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Tak</w:t>
      </w:r>
    </w:p>
    <w:p w:rsidR="002D53DF" w:rsidRPr="002D53DF" w:rsidRDefault="002D53DF" w:rsidP="002D53DF">
      <w:pPr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Helvetica"/>
          <w:sz w:val="24"/>
          <w:szCs w:val="16"/>
          <w:lang w:eastAsia="pl-PL"/>
        </w:rPr>
      </w:pPr>
    </w:p>
    <w:p w:rsidR="00CC424C" w:rsidRPr="00D032C8" w:rsidRDefault="00D032C8" w:rsidP="00CC424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D032C8">
        <w:rPr>
          <w:rFonts w:ascii="Arial" w:eastAsia="Times New Roman" w:hAnsi="Arial" w:cs="Arial"/>
          <w:u w:val="single"/>
          <w:lang w:eastAsia="pl-PL"/>
        </w:rPr>
        <w:t>Pytanie 13</w:t>
      </w:r>
    </w:p>
    <w:p w:rsidR="00D032C8" w:rsidRPr="00934DA2" w:rsidRDefault="00D032C8" w:rsidP="00D032C8">
      <w:pPr>
        <w:rPr>
          <w:b/>
        </w:rPr>
      </w:pPr>
      <w:r w:rsidRPr="00934DA2">
        <w:rPr>
          <w:b/>
        </w:rPr>
        <w:t>Dotyczy pakietu 33</w:t>
      </w:r>
    </w:p>
    <w:p w:rsidR="00D032C8" w:rsidRDefault="00D032C8" w:rsidP="00D032C8">
      <w:pPr>
        <w:jc w:val="both"/>
      </w:pPr>
      <w:r>
        <w:t xml:space="preserve">Prosimy o dopuszczenie - </w:t>
      </w:r>
      <w:r w:rsidRPr="009A473E">
        <w:t>Wapno sodowane w postaci białych pó</w:t>
      </w:r>
      <w:r>
        <w:t>łsferycznych granulek/</w:t>
      </w:r>
      <w:proofErr w:type="spellStart"/>
      <w:r>
        <w:t>pelletów</w:t>
      </w:r>
      <w:proofErr w:type="spellEnd"/>
      <w:r>
        <w:t xml:space="preserve"> i</w:t>
      </w:r>
      <w:r w:rsidRPr="009A473E">
        <w:t>dentycznych kształtów</w:t>
      </w:r>
      <w:r>
        <w:t xml:space="preserve"> </w:t>
      </w:r>
      <w:r w:rsidRPr="009A473E">
        <w:t xml:space="preserve">i rozmiarów, o średnicy 4 mm i wysokości 2 mm, pozwalające na dokładne wypełnienie pojemnika i  wysoką absorbcję </w:t>
      </w:r>
      <w:r w:rsidRPr="00F21CE2">
        <w:rPr>
          <w:b/>
          <w:u w:val="single"/>
        </w:rPr>
        <w:t xml:space="preserve">CO2 </w:t>
      </w:r>
      <w:r w:rsidRPr="00463848">
        <w:rPr>
          <w:b/>
          <w:u w:val="single"/>
        </w:rPr>
        <w:t>od 178 - 200 litrów CO2 / 1 litr wapna</w:t>
      </w:r>
      <w:r w:rsidRPr="00463848">
        <w:rPr>
          <w:b/>
        </w:rPr>
        <w:t>,</w:t>
      </w:r>
      <w:r>
        <w:t xml:space="preserve"> </w:t>
      </w:r>
      <w:r w:rsidRPr="009A473E">
        <w:t xml:space="preserve">posiadające wskaźnik zużycia (zmiana koloru z białego na błękitno-fioletowy), zawierające w swoim składzie 78 – 84 % Ca(OH)2; 2 – 4 % </w:t>
      </w:r>
      <w:proofErr w:type="spellStart"/>
      <w:r w:rsidRPr="009A473E">
        <w:t>NaOH</w:t>
      </w:r>
      <w:proofErr w:type="spellEnd"/>
      <w:r w:rsidRPr="009A473E">
        <w:t>; 14 – 18 % H2O; fiolet etylowy; charakteryzujące się wysoką odpornością na transport, zawierające tym samym minimalną ilość pyłu  – 0,66%,  pakowane w 5 litrowe kanistry – 4,15 kg. Okres trwałości min. 4 lata.</w:t>
      </w:r>
      <w:r>
        <w:t xml:space="preserve"> Trwałość granulatu oraz wysoka absorpcja CO2 zapewnia większą efektywność pracy, bezpieczeństwo oraz minimalizuje koszty.</w:t>
      </w:r>
    </w:p>
    <w:p w:rsidR="003C3D28" w:rsidRDefault="003C3D28" w:rsidP="00D032C8">
      <w:pPr>
        <w:jc w:val="both"/>
      </w:pPr>
      <w:r w:rsidRPr="003C3D28">
        <w:rPr>
          <w:u w:val="single"/>
        </w:rPr>
        <w:t>Odp.</w:t>
      </w:r>
      <w:r>
        <w:t xml:space="preserve"> Zamawiający dopuszcza.</w:t>
      </w:r>
    </w:p>
    <w:p w:rsidR="00D032C8" w:rsidRPr="00FC3D86" w:rsidRDefault="00D032C8" w:rsidP="00D032C8">
      <w:pPr>
        <w:spacing w:line="240" w:lineRule="auto"/>
        <w:jc w:val="both"/>
        <w:rPr>
          <w:rFonts w:cs="Arial"/>
          <w:iCs/>
          <w:sz w:val="20"/>
        </w:rPr>
      </w:pPr>
    </w:p>
    <w:p w:rsidR="000E2E76" w:rsidRDefault="003C3D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Zamawiający</w:t>
      </w:r>
    </w:p>
    <w:p w:rsidR="003C3D28" w:rsidRDefault="003C3D28">
      <w:pPr>
        <w:rPr>
          <w:rFonts w:ascii="Arial" w:hAnsi="Arial" w:cs="Arial"/>
        </w:rPr>
      </w:pPr>
    </w:p>
    <w:p w:rsidR="003C3D28" w:rsidRPr="00CC424C" w:rsidRDefault="003C3D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………………………………</w:t>
      </w:r>
    </w:p>
    <w:sectPr w:rsidR="003C3D28" w:rsidRPr="00CC4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972" w:rsidRDefault="00056972" w:rsidP="00B37E6D">
      <w:pPr>
        <w:spacing w:after="0" w:line="240" w:lineRule="auto"/>
      </w:pPr>
      <w:r>
        <w:separator/>
      </w:r>
    </w:p>
  </w:endnote>
  <w:endnote w:type="continuationSeparator" w:id="0">
    <w:p w:rsidR="00056972" w:rsidRDefault="00056972" w:rsidP="00B3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972" w:rsidRDefault="00056972" w:rsidP="00B37E6D">
      <w:pPr>
        <w:spacing w:after="0" w:line="240" w:lineRule="auto"/>
      </w:pPr>
      <w:r>
        <w:separator/>
      </w:r>
    </w:p>
  </w:footnote>
  <w:footnote w:type="continuationSeparator" w:id="0">
    <w:p w:rsidR="00056972" w:rsidRDefault="00056972" w:rsidP="00B37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C74"/>
    <w:multiLevelType w:val="hybridMultilevel"/>
    <w:tmpl w:val="83F82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D0FD7"/>
    <w:multiLevelType w:val="hybridMultilevel"/>
    <w:tmpl w:val="EFAA021E"/>
    <w:lvl w:ilvl="0" w:tplc="30D0FD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B8C2AF7"/>
    <w:multiLevelType w:val="hybridMultilevel"/>
    <w:tmpl w:val="7D28E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D6557"/>
    <w:multiLevelType w:val="multilevel"/>
    <w:tmpl w:val="FD1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990CDD"/>
    <w:multiLevelType w:val="hybridMultilevel"/>
    <w:tmpl w:val="1D0CD9E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41F50D7D"/>
    <w:multiLevelType w:val="hybridMultilevel"/>
    <w:tmpl w:val="95A4617A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0415001B">
      <w:start w:val="1"/>
      <w:numFmt w:val="lowerRoman"/>
      <w:lvlText w:val="%3."/>
      <w:lvlJc w:val="right"/>
      <w:pPr>
        <w:ind w:left="2877" w:hanging="180"/>
      </w:pPr>
    </w:lvl>
    <w:lvl w:ilvl="3" w:tplc="0415000F">
      <w:start w:val="1"/>
      <w:numFmt w:val="decimal"/>
      <w:lvlText w:val="%4."/>
      <w:lvlJc w:val="left"/>
      <w:pPr>
        <w:ind w:left="3597" w:hanging="360"/>
      </w:pPr>
    </w:lvl>
    <w:lvl w:ilvl="4" w:tplc="04150019">
      <w:start w:val="1"/>
      <w:numFmt w:val="lowerLetter"/>
      <w:lvlText w:val="%5."/>
      <w:lvlJc w:val="left"/>
      <w:pPr>
        <w:ind w:left="4317" w:hanging="360"/>
      </w:pPr>
    </w:lvl>
    <w:lvl w:ilvl="5" w:tplc="0415001B">
      <w:start w:val="1"/>
      <w:numFmt w:val="lowerRoman"/>
      <w:lvlText w:val="%6."/>
      <w:lvlJc w:val="right"/>
      <w:pPr>
        <w:ind w:left="5037" w:hanging="180"/>
      </w:pPr>
    </w:lvl>
    <w:lvl w:ilvl="6" w:tplc="0415000F">
      <w:start w:val="1"/>
      <w:numFmt w:val="decimal"/>
      <w:lvlText w:val="%7."/>
      <w:lvlJc w:val="left"/>
      <w:pPr>
        <w:ind w:left="5757" w:hanging="360"/>
      </w:pPr>
    </w:lvl>
    <w:lvl w:ilvl="7" w:tplc="04150019">
      <w:start w:val="1"/>
      <w:numFmt w:val="lowerLetter"/>
      <w:lvlText w:val="%8."/>
      <w:lvlJc w:val="left"/>
      <w:pPr>
        <w:ind w:left="6477" w:hanging="360"/>
      </w:pPr>
    </w:lvl>
    <w:lvl w:ilvl="8" w:tplc="0415001B">
      <w:start w:val="1"/>
      <w:numFmt w:val="lowerRoman"/>
      <w:lvlText w:val="%9."/>
      <w:lvlJc w:val="right"/>
      <w:pPr>
        <w:ind w:left="7197" w:hanging="180"/>
      </w:pPr>
    </w:lvl>
  </w:abstractNum>
  <w:abstractNum w:abstractNumId="6">
    <w:nsid w:val="580030BC"/>
    <w:multiLevelType w:val="hybridMultilevel"/>
    <w:tmpl w:val="2E642AC6"/>
    <w:lvl w:ilvl="0" w:tplc="37AAE5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A194B"/>
    <w:multiLevelType w:val="hybridMultilevel"/>
    <w:tmpl w:val="83F82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C21"/>
    <w:rsid w:val="00025212"/>
    <w:rsid w:val="00056972"/>
    <w:rsid w:val="000E2E76"/>
    <w:rsid w:val="001A4575"/>
    <w:rsid w:val="002251DD"/>
    <w:rsid w:val="00233D73"/>
    <w:rsid w:val="00276FE0"/>
    <w:rsid w:val="002930D4"/>
    <w:rsid w:val="002D53DF"/>
    <w:rsid w:val="003A3BEE"/>
    <w:rsid w:val="003C3D28"/>
    <w:rsid w:val="003E6A6F"/>
    <w:rsid w:val="00657C21"/>
    <w:rsid w:val="008105DA"/>
    <w:rsid w:val="008427A4"/>
    <w:rsid w:val="008A25EE"/>
    <w:rsid w:val="008E303D"/>
    <w:rsid w:val="00944836"/>
    <w:rsid w:val="00995CD3"/>
    <w:rsid w:val="00B13565"/>
    <w:rsid w:val="00B37E6D"/>
    <w:rsid w:val="00BB105D"/>
    <w:rsid w:val="00CC424C"/>
    <w:rsid w:val="00CD6B91"/>
    <w:rsid w:val="00D032C8"/>
    <w:rsid w:val="00D04059"/>
    <w:rsid w:val="00EB1751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6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424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37E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7E6D"/>
    <w:rPr>
      <w:sz w:val="20"/>
      <w:szCs w:val="20"/>
    </w:rPr>
  </w:style>
  <w:style w:type="character" w:styleId="Odwoanieprzypisudolnego">
    <w:name w:val="footnote reference"/>
    <w:basedOn w:val="Domylnaczcionkaakapitu"/>
    <w:uiPriority w:val="6"/>
    <w:unhideWhenUsed/>
    <w:rsid w:val="00B37E6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6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424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37E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7E6D"/>
    <w:rPr>
      <w:sz w:val="20"/>
      <w:szCs w:val="20"/>
    </w:rPr>
  </w:style>
  <w:style w:type="character" w:styleId="Odwoanieprzypisudolnego">
    <w:name w:val="footnote reference"/>
    <w:basedOn w:val="Domylnaczcionkaakapitu"/>
    <w:uiPriority w:val="6"/>
    <w:unhideWhenUsed/>
    <w:rsid w:val="00B37E6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2087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21</cp:revision>
  <cp:lastPrinted>2017-11-20T06:28:00Z</cp:lastPrinted>
  <dcterms:created xsi:type="dcterms:W3CDTF">2017-11-08T10:12:00Z</dcterms:created>
  <dcterms:modified xsi:type="dcterms:W3CDTF">2017-11-20T06:32:00Z</dcterms:modified>
</cp:coreProperties>
</file>