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6D1E97" w:rsidRDefault="00C676F5" w:rsidP="00C676F5">
      <w:pPr>
        <w:pStyle w:val="Podtytu"/>
      </w:pPr>
      <w:r>
        <w:t xml:space="preserve">Pakiet nr </w:t>
      </w:r>
      <w:r w:rsidR="004B4DA1">
        <w:t>V</w:t>
      </w:r>
      <w:r>
        <w:t>I</w:t>
      </w:r>
      <w:r w:rsidR="00FF1BC4">
        <w:t>I</w:t>
      </w:r>
    </w:p>
    <w:p w:rsidR="00C676F5" w:rsidRDefault="00C676F5" w:rsidP="00C676F5">
      <w:pPr>
        <w:pStyle w:val="Podtytu"/>
      </w:pPr>
      <w:r>
        <w:t xml:space="preserve">                                                                                    </w:t>
      </w:r>
    </w:p>
    <w:p w:rsidR="00C676F5" w:rsidRDefault="00C676F5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6D1E97" w:rsidRPr="006D1E97">
        <w:rPr>
          <w:b/>
          <w:bCs/>
          <w:sz w:val="24"/>
          <w:szCs w:val="24"/>
        </w:rPr>
        <w:t xml:space="preserve">Preparaty </w:t>
      </w:r>
      <w:r w:rsidR="003500F8">
        <w:rPr>
          <w:b/>
          <w:bCs/>
          <w:sz w:val="24"/>
          <w:szCs w:val="24"/>
        </w:rPr>
        <w:t>do d</w:t>
      </w:r>
      <w:r w:rsidR="006D1E97" w:rsidRPr="006D1E97">
        <w:rPr>
          <w:b/>
          <w:bCs/>
          <w:sz w:val="24"/>
          <w:szCs w:val="24"/>
        </w:rPr>
        <w:t xml:space="preserve">ezynfekcji </w:t>
      </w:r>
      <w:r w:rsidR="003500F8">
        <w:rPr>
          <w:b/>
          <w:bCs/>
          <w:sz w:val="24"/>
          <w:szCs w:val="24"/>
        </w:rPr>
        <w:t>powierzchni i sprzętu</w:t>
      </w:r>
      <w:r w:rsidR="006D1E97" w:rsidRPr="006D1E97">
        <w:rPr>
          <w:b/>
          <w:bCs/>
          <w:sz w:val="24"/>
          <w:szCs w:val="24"/>
        </w:rPr>
        <w:t>.</w:t>
      </w: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</w:t>
      </w:r>
      <w:r w:rsidR="00EF36D3">
        <w:rPr>
          <w:b/>
          <w:sz w:val="24"/>
          <w:szCs w:val="24"/>
          <w:u w:val="single"/>
        </w:rPr>
        <w:t>dywana wielkość zamówienia na 24</w:t>
      </w:r>
      <w:r>
        <w:rPr>
          <w:b/>
          <w:sz w:val="24"/>
          <w:szCs w:val="24"/>
          <w:u w:val="single"/>
        </w:rPr>
        <w:t xml:space="preserve"> miesi</w:t>
      </w:r>
      <w:r w:rsidR="00EF36D3">
        <w:rPr>
          <w:b/>
          <w:sz w:val="24"/>
          <w:szCs w:val="24"/>
          <w:u w:val="single"/>
        </w:rPr>
        <w:t>ące</w:t>
      </w:r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667"/>
        <w:gridCol w:w="992"/>
        <w:gridCol w:w="1548"/>
        <w:gridCol w:w="1548"/>
        <w:gridCol w:w="1239"/>
        <w:gridCol w:w="1549"/>
      </w:tblGrid>
      <w:tr w:rsidR="004E6E9E" w:rsidTr="003962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720CEC" w:rsidTr="003962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Pr="003500F8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 xml:space="preserve">Preparat na bazie min. dwóch alkoholi ( bez etanolu) i amfoterycznych związków powierzchniowo czynnych, przeznaczony do szybkiej dezynfekcji  powierzchni i sprzętu medycznego. Wymagana pozytywna opinia kliniczna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ImiDz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500F8">
              <w:rPr>
                <w:color w:val="000000"/>
                <w:sz w:val="22"/>
                <w:szCs w:val="22"/>
              </w:rPr>
              <w:t xml:space="preserve">Spektrum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działania:B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 xml:space="preserve">(łącznie z MRSA i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Tbc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>),F,V( Rota,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Adeno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500F8">
              <w:rPr>
                <w:color w:val="000000"/>
                <w:sz w:val="22"/>
                <w:szCs w:val="22"/>
              </w:rPr>
              <w:t>HIV,  HBV,HCV)-do 1 min. V(Papowa i Noro-mysi)-do 10 min.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500F8">
              <w:rPr>
                <w:color w:val="000000"/>
                <w:sz w:val="22"/>
                <w:szCs w:val="22"/>
              </w:rPr>
              <w:t>Wymagana deklaracja zgodności CE.</w:t>
            </w:r>
          </w:p>
          <w:p w:rsidR="00720CEC" w:rsidRPr="00720CEC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>Wymagany jest spryskiwacz do każdej butelki.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3500F8" w:rsidP="006D1E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But. 1000 ml ze </w:t>
            </w:r>
            <w:r w:rsidR="0039629E">
              <w:rPr>
                <w:color w:val="000000"/>
                <w:sz w:val="26"/>
                <w:szCs w:val="26"/>
              </w:rPr>
              <w:t>spryskiwaczem</w:t>
            </w:r>
          </w:p>
          <w:p w:rsidR="00720CEC" w:rsidRPr="004E6E9E" w:rsidRDefault="00720CEC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3500F8" w:rsidP="006D1E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 l</w:t>
            </w:r>
          </w:p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6D1E97" w:rsidTr="003962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Pr="003500F8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 xml:space="preserve">Preparat na bazie min. dwóch alkoholi ( bez etanolu) i amfoterycznych związków powierzchniowo czynnych, przeznaczony do szybkiej dezynfekcji  powierzchni i sprzętu medycznego. Wymagana pozytywna opinia kliniczna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ImiDz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 xml:space="preserve">. Spektrum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działania:B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 xml:space="preserve">(łącznie z MRSA i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Tbc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 xml:space="preserve">),F,V( Rota,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Adeno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>, HIV,  HBV,HCV)-do 1 min. V(Papowa i Noro-mysi)-do 10 min. Wymagana deklaracja zgodności CE.</w:t>
            </w:r>
          </w:p>
          <w:p w:rsidR="006D1E97" w:rsidRPr="00720CEC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>Wymagany jest spryskiwacz do każdej butelki.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3500F8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Kan. 5 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3500F8" w:rsidP="00EF36D3">
            <w:pPr>
              <w:pStyle w:val="TableHeading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480</w:t>
            </w:r>
            <w:r w:rsidR="006D1E97">
              <w:rPr>
                <w:color w:val="000000"/>
                <w:sz w:val="26"/>
                <w:szCs w:val="26"/>
              </w:rPr>
              <w:t xml:space="preserve">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6D1E97" w:rsidTr="003962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Pr="003500F8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 xml:space="preserve">Gotowy do użycia preparat do szybkiej dezynfekcji sprzętu medycznego i wszelkich powierzchni wrażliwych na działanie alkoholi również na oddziałach pediatrycznych ( pozytywna opinia kliniczna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IMiDz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 xml:space="preserve">). Nie zawierający aldehydów .Zawierający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glukoprotaminę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>.. .Dozowany w postaci piany, opakowanie z końcówką spieniającą, bez zawartości freonu.</w:t>
            </w:r>
          </w:p>
          <w:p w:rsidR="003500F8" w:rsidRPr="003500F8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>Czas i spektrum działania:</w:t>
            </w:r>
          </w:p>
          <w:p w:rsidR="003500F8" w:rsidRPr="003500F8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>B,F,Adeno,Rotawirusy-1 min</w:t>
            </w:r>
          </w:p>
          <w:p w:rsidR="003500F8" w:rsidRPr="003500F8" w:rsidRDefault="003500F8" w:rsidP="003500F8">
            <w:pPr>
              <w:pStyle w:val="TableContents"/>
              <w:rPr>
                <w:color w:val="000000"/>
                <w:sz w:val="22"/>
                <w:szCs w:val="22"/>
                <w:lang w:val="de-DE"/>
              </w:rPr>
            </w:pPr>
            <w:proofErr w:type="spellStart"/>
            <w:r w:rsidRPr="003500F8">
              <w:rPr>
                <w:color w:val="000000"/>
                <w:sz w:val="22"/>
                <w:szCs w:val="22"/>
                <w:lang w:val="de-DE"/>
              </w:rPr>
              <w:t>Tbc,V</w:t>
            </w:r>
            <w:proofErr w:type="spellEnd"/>
            <w:r w:rsidRPr="003500F8">
              <w:rPr>
                <w:color w:val="000000"/>
                <w:sz w:val="22"/>
                <w:szCs w:val="22"/>
                <w:lang w:val="de-DE"/>
              </w:rPr>
              <w:t>(HBV, HIV)-5 min.</w:t>
            </w:r>
          </w:p>
          <w:p w:rsidR="006D1E97" w:rsidRPr="00720CEC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>Wymagana deklaracja zgodności CE.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EF36D3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But. </w:t>
            </w:r>
            <w:r w:rsidR="003500F8">
              <w:rPr>
                <w:color w:val="000000"/>
                <w:sz w:val="26"/>
                <w:szCs w:val="26"/>
              </w:rPr>
              <w:t>750 ml – 1000 ml</w:t>
            </w: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3500F8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87</w:t>
            </w:r>
            <w:r w:rsidR="006D1E97">
              <w:rPr>
                <w:color w:val="000000"/>
                <w:sz w:val="26"/>
                <w:szCs w:val="26"/>
              </w:rPr>
              <w:t xml:space="preserve"> L</w:t>
            </w: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EF36D3" w:rsidTr="003962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Default="00EF36D3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Pr="003500F8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 xml:space="preserve">Preparat płynny w koncentracie do mycia i dezynfekcji powierzchni i sprzętu medycznego, przeznaczony również do dezynfekcji wszelkich pozostałych powierzchni zmywalnych oraz do dezynfekcji niewielkich przedmiotów przez  zanurzenie. Możliwość stosowania do metali np. Mosiądzu, tworzyw sztucznych np. poliwęglanów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elastomerów,podłóg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 xml:space="preserve">. Bez zawartości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kwasów;pH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 xml:space="preserve"> 8.Do stosowania w obecności pacjenta i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personelu.Oparty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 xml:space="preserve"> o min .trzy substancje aktywne</w:t>
            </w:r>
          </w:p>
          <w:p w:rsidR="00EF36D3" w:rsidRPr="00EF36D3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QAV,pochodne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biquanidyny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bifenylol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 xml:space="preserve">. Bez zawartości  aldehydów, aktywnego tlenu, kwasu nadoctowego i związków chlorowych. Działający na bakterie (łącznie z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Tbc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 xml:space="preserve">), grzyby i wirusy ( HIV, HBV,HCV, Rota, </w:t>
            </w:r>
            <w:proofErr w:type="spellStart"/>
            <w:r w:rsidRPr="003500F8">
              <w:rPr>
                <w:color w:val="000000"/>
                <w:sz w:val="22"/>
                <w:szCs w:val="22"/>
              </w:rPr>
              <w:t>Herpes</w:t>
            </w:r>
            <w:proofErr w:type="spellEnd"/>
            <w:r w:rsidRPr="003500F8">
              <w:rPr>
                <w:color w:val="000000"/>
                <w:sz w:val="22"/>
                <w:szCs w:val="22"/>
              </w:rPr>
              <w:t>)  , przy niskich stężeniach roboczych 0,25 –0,5% w czasie do 15 min.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Default="003500F8" w:rsidP="003500F8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Kan</w:t>
            </w:r>
            <w:r w:rsidR="00EF36D3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6</w:t>
            </w:r>
            <w:r w:rsidR="00EF36D3">
              <w:rPr>
                <w:color w:val="000000"/>
                <w:sz w:val="26"/>
                <w:szCs w:val="26"/>
              </w:rPr>
              <w:t xml:space="preserve"> 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Default="003500F8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="00EF36D3">
              <w:rPr>
                <w:color w:val="000000"/>
                <w:sz w:val="26"/>
                <w:szCs w:val="26"/>
              </w:rPr>
              <w:t xml:space="preserve">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6D3" w:rsidRDefault="00EF36D3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Default="00EF36D3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Default="00EF36D3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Default="00EF36D3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3500F8" w:rsidTr="003962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2E0F99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Pr="003500F8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>Chusteczki o wymiarach 21,5x21,5cm do dezynfekcji małych powierzchni czystych na bazie QAV i kationowych</w:t>
            </w:r>
          </w:p>
          <w:p w:rsidR="003500F8" w:rsidRPr="003500F8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>środków powierzchniowo czynnych, nie zawierających aldehydów,</w:t>
            </w:r>
            <w:r w:rsidR="002E0F99">
              <w:rPr>
                <w:color w:val="000000"/>
                <w:sz w:val="22"/>
                <w:szCs w:val="22"/>
              </w:rPr>
              <w:t xml:space="preserve"> </w:t>
            </w:r>
            <w:r w:rsidRPr="003500F8">
              <w:rPr>
                <w:color w:val="000000"/>
                <w:sz w:val="22"/>
                <w:szCs w:val="22"/>
              </w:rPr>
              <w:t>gotowe do użycia.</w:t>
            </w:r>
          </w:p>
          <w:p w:rsidR="003500F8" w:rsidRPr="00EF36D3" w:rsidRDefault="003500F8" w:rsidP="003500F8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3500F8">
              <w:rPr>
                <w:color w:val="000000"/>
                <w:sz w:val="22"/>
                <w:szCs w:val="22"/>
              </w:rPr>
              <w:t>Spektrum działania: B, F, V w czasie do 1 minuty.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2E0F99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Op. po 200 szt. chusteczek w tubie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2E0F99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op.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F8" w:rsidRDefault="003500F8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3500F8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3500F8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3500F8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3500F8" w:rsidTr="00EA7C42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2E0F99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0F99" w:rsidRPr="002E0F99" w:rsidRDefault="002E0F99" w:rsidP="002E0F99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2E0F99">
              <w:rPr>
                <w:color w:val="000000"/>
                <w:sz w:val="22"/>
                <w:szCs w:val="22"/>
              </w:rPr>
              <w:t>Chusteczki o wymiarach 21,5x21,5cm do dezynfekcji małych powierzchni czystych na bazie QAV i kationowych</w:t>
            </w:r>
          </w:p>
          <w:p w:rsidR="002E0F99" w:rsidRPr="002E0F99" w:rsidRDefault="002E0F99" w:rsidP="002E0F99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2E0F99">
              <w:rPr>
                <w:color w:val="000000"/>
                <w:sz w:val="22"/>
                <w:szCs w:val="22"/>
              </w:rPr>
              <w:t>środków powierzchniowo czynnych, nie zawierających aldehydów,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E0F99">
              <w:rPr>
                <w:color w:val="000000"/>
                <w:sz w:val="22"/>
                <w:szCs w:val="22"/>
              </w:rPr>
              <w:t>gotowe do użycia.</w:t>
            </w:r>
          </w:p>
          <w:p w:rsidR="003500F8" w:rsidRPr="00EF36D3" w:rsidRDefault="002E0F99" w:rsidP="002E0F99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2E0F99">
              <w:rPr>
                <w:color w:val="000000"/>
                <w:sz w:val="22"/>
                <w:szCs w:val="22"/>
              </w:rPr>
              <w:t>Spektrum działania: B, F, V w czasie do 1 minuty.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2E0F99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Wkład po 200 szt. chusteczek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2E0F99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 op.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F8" w:rsidRDefault="003500F8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3500F8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3500F8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3500F8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3500F8" w:rsidTr="00EA7C42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3500F8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Pr="00EF36D3" w:rsidRDefault="003500F8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3500F8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3500F8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00F8" w:rsidRDefault="003500F8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3500F8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3500F8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0F8" w:rsidRDefault="003500F8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39629E" w:rsidTr="00EA7C42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29E" w:rsidRDefault="003962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29E" w:rsidRPr="00EF36D3" w:rsidRDefault="0039629E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29E" w:rsidRDefault="0039629E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29E" w:rsidRDefault="0039629E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39629E" w:rsidRDefault="003962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29E" w:rsidRDefault="00EA7C42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29E" w:rsidRDefault="003962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29E" w:rsidRDefault="0039629E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EF36D3" w:rsidRDefault="00EF36D3" w:rsidP="00EF36D3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Opakowania muszą posiadać miarki lub pompki umożliwiające przygotowywanie prawidłowego stężenia preparatu</w:t>
      </w:r>
    </w:p>
    <w:p w:rsidR="00EF36D3" w:rsidRDefault="00EF36D3" w:rsidP="005D06D1">
      <w:pPr>
        <w:jc w:val="right"/>
        <w:rPr>
          <w:rFonts w:cs="Times New Roman"/>
          <w:color w:val="000000"/>
        </w:rPr>
      </w:pPr>
    </w:p>
    <w:p w:rsidR="00EF36D3" w:rsidRDefault="00EF36D3" w:rsidP="005D06D1">
      <w:pPr>
        <w:jc w:val="right"/>
        <w:rPr>
          <w:rFonts w:cs="Times New Roman"/>
          <w:color w:val="000000"/>
        </w:rPr>
      </w:pPr>
    </w:p>
    <w:p w:rsidR="005D06D1" w:rsidRDefault="005D06D1" w:rsidP="005D06D1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5D06D1" w:rsidRDefault="005D06D1" w:rsidP="005D06D1">
      <w:pPr>
        <w:jc w:val="right"/>
      </w:pPr>
      <w:bookmarkStart w:id="0" w:name="_GoBack"/>
      <w:bookmarkEnd w:id="0"/>
      <w:r>
        <w:rPr>
          <w:rFonts w:cs="Times New Roman"/>
          <w:color w:val="000000"/>
        </w:rPr>
        <w:t>……………………………………</w:t>
      </w:r>
    </w:p>
    <w:p w:rsidR="005D06D1" w:rsidRDefault="005D06D1" w:rsidP="005D06D1">
      <w:pPr>
        <w:jc w:val="right"/>
      </w:pPr>
    </w:p>
    <w:sectPr w:rsidR="005D06D1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E4925"/>
    <w:rsid w:val="002E0F99"/>
    <w:rsid w:val="003500F8"/>
    <w:rsid w:val="0039629E"/>
    <w:rsid w:val="004B4DA1"/>
    <w:rsid w:val="004E6E9E"/>
    <w:rsid w:val="005C4EA4"/>
    <w:rsid w:val="005D06D1"/>
    <w:rsid w:val="006D1E97"/>
    <w:rsid w:val="00720CEC"/>
    <w:rsid w:val="00A827DE"/>
    <w:rsid w:val="00B51FAB"/>
    <w:rsid w:val="00C676F5"/>
    <w:rsid w:val="00EA7C42"/>
    <w:rsid w:val="00EF36D3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13</cp:revision>
  <dcterms:created xsi:type="dcterms:W3CDTF">2012-07-11T07:41:00Z</dcterms:created>
  <dcterms:modified xsi:type="dcterms:W3CDTF">2014-01-15T11:33:00Z</dcterms:modified>
</cp:coreProperties>
</file>