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AB" w:rsidRDefault="00B51FAB"/>
    <w:p w:rsidR="00C676F5" w:rsidRDefault="00C83125" w:rsidP="00C676F5">
      <w:pPr>
        <w:pStyle w:val="Podtytu"/>
      </w:pPr>
      <w:r>
        <w:t>Pakiet nr IV</w:t>
      </w:r>
      <w:r w:rsidR="00C676F5">
        <w:t xml:space="preserve">                                                                                  </w:t>
      </w:r>
    </w:p>
    <w:p w:rsidR="00C676F5" w:rsidRDefault="00C83125" w:rsidP="00C676F5">
      <w:pPr>
        <w:pStyle w:val="Text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C83125">
        <w:rPr>
          <w:b/>
          <w:bCs/>
          <w:sz w:val="24"/>
          <w:szCs w:val="24"/>
        </w:rPr>
        <w:t>Preparaty do dezynfekcji skóry przed iniekcjami i zabiegami .</w:t>
      </w:r>
    </w:p>
    <w:p w:rsidR="00C676F5" w:rsidRDefault="00C676F5" w:rsidP="00C676F5">
      <w:pPr>
        <w:pStyle w:val="Standard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     Przewi</w:t>
      </w:r>
      <w:r w:rsidR="002150B6">
        <w:rPr>
          <w:b/>
          <w:sz w:val="24"/>
          <w:szCs w:val="24"/>
          <w:u w:val="single"/>
        </w:rPr>
        <w:t>dywana wielkość zamówienia na 24</w:t>
      </w:r>
      <w:r>
        <w:rPr>
          <w:b/>
          <w:sz w:val="24"/>
          <w:szCs w:val="24"/>
          <w:u w:val="single"/>
        </w:rPr>
        <w:t xml:space="preserve"> miesi</w:t>
      </w:r>
      <w:r w:rsidR="002150B6">
        <w:rPr>
          <w:b/>
          <w:sz w:val="24"/>
          <w:szCs w:val="24"/>
          <w:u w:val="single"/>
        </w:rPr>
        <w:t>ące</w:t>
      </w:r>
      <w:bookmarkStart w:id="0" w:name="_GoBack"/>
      <w:bookmarkEnd w:id="0"/>
    </w:p>
    <w:p w:rsidR="004E6E9E" w:rsidRDefault="004E6E9E"/>
    <w:p w:rsidR="004E6E9E" w:rsidRDefault="004E6E9E"/>
    <w:tbl>
      <w:tblPr>
        <w:tblW w:w="1284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7"/>
        <w:gridCol w:w="3760"/>
        <w:gridCol w:w="1486"/>
        <w:gridCol w:w="1173"/>
        <w:gridCol w:w="1548"/>
        <w:gridCol w:w="1548"/>
        <w:gridCol w:w="1239"/>
        <w:gridCol w:w="1549"/>
      </w:tblGrid>
      <w:tr w:rsidR="004E6E9E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L.p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Charakterystyka preparatu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działania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Opakowanie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</w:t>
            </w:r>
          </w:p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roztworu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Ilość opakowań wynikająca z przeliczenia ilości zamawianej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jednostkowa brutto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Wartość brutto</w:t>
            </w: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6E9E" w:rsidRDefault="004E6E9E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handlowa preparatów</w:t>
            </w: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1.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C83125" w:rsidRDefault="00030C5F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030C5F">
              <w:rPr>
                <w:color w:val="000000"/>
                <w:sz w:val="22"/>
                <w:szCs w:val="22"/>
              </w:rPr>
              <w:t>Bezbarwny preparat o przedłużonym działaniu do dezynfekcji i odtłuszczania skóry przed operacjami, iniekcjami i punkcjami. Zawierający mieszankę  alkoholi(zawartość alkoholi nie mniejsza niż 70%) i nadtlenku wodoru.Nie zawierający jodu i jego związków oraz fenolu.  Działający w czasie 15 sek.na mikroorganizmy występujące na skórze,na bakterie ( włącznie z MRSA i Tbc), grzyby, wirusy(HBV- 2 min, HIV,Herpes, Rota, Adeno- 1 min )Wartość pH 5,5 – 6,9.Przebadany klinicznie i dermatologicznie.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4E6E9E" w:rsidRDefault="00030C5F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But.</w:t>
            </w:r>
            <w:r w:rsidR="00C83125">
              <w:rPr>
                <w:color w:val="000000"/>
                <w:sz w:val="26"/>
                <w:szCs w:val="26"/>
              </w:rPr>
              <w:t>350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030C5F" w:rsidP="00C83125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</w:t>
            </w:r>
            <w:r w:rsidR="00C83125">
              <w:rPr>
                <w:color w:val="000000"/>
                <w:sz w:val="26"/>
                <w:szCs w:val="26"/>
              </w:rPr>
              <w:t xml:space="preserve"> L</w:t>
            </w:r>
          </w:p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C83125" w:rsidRDefault="00030C5F" w:rsidP="00EF4B36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030C5F">
              <w:rPr>
                <w:color w:val="000000"/>
                <w:sz w:val="22"/>
                <w:szCs w:val="22"/>
              </w:rPr>
              <w:t>Bezbarwny preparat o przedłużonym działaniu do dezynfekcji i odtłuszczania skóry przed operacjami, iniekcjami i punkcjami. Zawierający mieszankę  alkoholi(zawartość alkoholi nie mniejsza niż 70%) i nadtlenku wodoru.Nie zawierający jodu i jego związków oraz fenolu.  Działający w czasie 15 sek.na mikroorganizmy występujące na skórze,na bakterie ( włącznie z MRSA i Tbc), grzyby, wirusy(HBV- 2 min, HIV,Herpes, Rota, Adeno- 1 min )Wartość pH 5,5 – 6,9.Przebadany klinicznie i dermatologicznie.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C83125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But.1 L</w:t>
            </w:r>
          </w:p>
          <w:p w:rsidR="00720CEC" w:rsidRPr="004E6E9E" w:rsidRDefault="00720CEC" w:rsidP="00EF4B36">
            <w:pPr>
              <w:pStyle w:val="TableHeading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Pr="004029B2" w:rsidRDefault="00030C5F" w:rsidP="00EF4B36">
            <w:pPr>
              <w:pStyle w:val="TableHeading"/>
              <w:rPr>
                <w:i w:val="0"/>
                <w:sz w:val="24"/>
                <w:szCs w:val="24"/>
              </w:rPr>
            </w:pPr>
            <w:r>
              <w:rPr>
                <w:i w:val="0"/>
                <w:color w:val="000000"/>
                <w:sz w:val="26"/>
                <w:szCs w:val="26"/>
              </w:rPr>
              <w:t>4</w:t>
            </w:r>
            <w:r w:rsidR="00C83125" w:rsidRPr="004029B2">
              <w:rPr>
                <w:i w:val="0"/>
                <w:color w:val="000000"/>
                <w:sz w:val="26"/>
                <w:szCs w:val="26"/>
              </w:rPr>
              <w:t>00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Pr="00C83125" w:rsidRDefault="00C83125" w:rsidP="00C8312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C83125">
              <w:rPr>
                <w:color w:val="000000"/>
                <w:sz w:val="22"/>
                <w:szCs w:val="22"/>
              </w:rPr>
              <w:t>Preparat o przedłużonym działaniu do dezynfekcji i odtłuszczania skóry przed operacjami, iniekcjami i  punkcjami, zawierający mieszankę trzech</w:t>
            </w:r>
          </w:p>
          <w:p w:rsidR="00720CEC" w:rsidRPr="00720CEC" w:rsidRDefault="00C83125" w:rsidP="00C8312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C83125">
              <w:rPr>
                <w:color w:val="000000"/>
                <w:sz w:val="22"/>
                <w:szCs w:val="22"/>
              </w:rPr>
              <w:t>alkoholi i nadtlenku wodoru. Barwiony rozpuszczalnymi w wodzie barwnikami. Niezawierający jodu i jego związków oraz fenolu i pochodnych..  Działający w czasie 15 sek.na baktrie ( włącznie z MRSA i Tbc ), grzyby i wirusy ( HBV, HIV, Herpes, Rota, Adeno-2 min ).Wartość pH 5,5-6,9.Przebadany klinicznie i dermatologicznie.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030C5F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But.</w:t>
            </w:r>
            <w:r w:rsidR="00C83125">
              <w:rPr>
                <w:color w:val="000000"/>
                <w:sz w:val="26"/>
                <w:szCs w:val="26"/>
              </w:rPr>
              <w:t>350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030C5F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  <w:t>7</w:t>
            </w:r>
            <w:r w:rsidR="00C83125">
              <w:rPr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  <w:t xml:space="preserve">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720CEC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Pr="00C83125" w:rsidRDefault="00C83125" w:rsidP="00C8312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C83125">
              <w:rPr>
                <w:color w:val="000000"/>
                <w:sz w:val="22"/>
                <w:szCs w:val="22"/>
              </w:rPr>
              <w:t>Preparat o przedłużonym działaniu do dezynfekcji i odtłuszczania skóry przed operacjami, iniekcjami i  punkcjami, zawierający mieszankę trzech</w:t>
            </w:r>
          </w:p>
          <w:p w:rsidR="00720CEC" w:rsidRPr="00720CEC" w:rsidRDefault="00C83125" w:rsidP="00C83125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C83125">
              <w:rPr>
                <w:color w:val="000000"/>
                <w:sz w:val="22"/>
                <w:szCs w:val="22"/>
              </w:rPr>
              <w:t>alkoholi i nadtlenku wodoru. Barwiony rozpuszczalnymi w wodzie barwnikami. Niezawierający jodu i jego związków oraz fenolu i pochodnych..  Działający w czasie 15 sek.na baktrie ( włącznie z MRSA i Tbc ), grzyby i wirusy ( HBV, HIV, Herpes, Rota, Adeno-2 min ).Wartość pH 5,5-6,9.Przebadany klinicznie i dermatologicznie.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C8312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  <w:t>But. 1 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030C5F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  <w:t>150</w:t>
            </w:r>
            <w:r w:rsidR="00C83125">
              <w:rPr>
                <w:b w:val="0"/>
                <w:bCs w:val="0"/>
                <w:i w:val="0"/>
                <w:iCs w:val="0"/>
                <w:color w:val="000000"/>
                <w:sz w:val="26"/>
                <w:szCs w:val="26"/>
              </w:rPr>
              <w:t xml:space="preserve">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0CEC" w:rsidRDefault="00720CEC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C83125" w:rsidTr="004E6E9E">
        <w:trPr>
          <w:tblHeader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5.</w:t>
            </w:r>
          </w:p>
        </w:tc>
        <w:tc>
          <w:tcPr>
            <w:tcW w:w="3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C5F" w:rsidRPr="00030C5F" w:rsidRDefault="00030C5F" w:rsidP="00030C5F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030C5F">
              <w:rPr>
                <w:color w:val="000000"/>
                <w:sz w:val="22"/>
                <w:szCs w:val="22"/>
              </w:rPr>
              <w:t>Preparat do dezynfekcji wyrobów medycznych ,w tym zewnętrznych elementów centralnych i obwodowych cewników  dożylnych .Na bazie alkoholu</w:t>
            </w:r>
          </w:p>
          <w:p w:rsidR="00030C5F" w:rsidRPr="00030C5F" w:rsidRDefault="00030C5F" w:rsidP="00030C5F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030C5F">
              <w:rPr>
                <w:color w:val="000000"/>
                <w:sz w:val="22"/>
                <w:szCs w:val="22"/>
              </w:rPr>
              <w:t>izopropylowego ( max.70%) i chlorheksydyny (max.2% ). Działanie przedłużone do 24h.</w:t>
            </w:r>
          </w:p>
          <w:p w:rsidR="00C83125" w:rsidRPr="00C83125" w:rsidRDefault="00030C5F" w:rsidP="00030C5F">
            <w:pPr>
              <w:pStyle w:val="TableContents"/>
              <w:rPr>
                <w:color w:val="000000"/>
                <w:sz w:val="22"/>
                <w:szCs w:val="22"/>
              </w:rPr>
            </w:pPr>
            <w:r w:rsidRPr="00030C5F">
              <w:rPr>
                <w:color w:val="000000"/>
                <w:sz w:val="22"/>
                <w:szCs w:val="22"/>
              </w:rPr>
              <w:t>Spektrum działania: B,Tbc,F(C.albicans),V ( HIV, HBV,Rota) do 1 min.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But.250 ml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030C5F" w:rsidP="001B2F97">
            <w:pPr>
              <w:pStyle w:val="TableContents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C83125">
              <w:rPr>
                <w:color w:val="000000"/>
                <w:sz w:val="26"/>
                <w:szCs w:val="26"/>
              </w:rPr>
              <w:t xml:space="preserve"> L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</w:tr>
      <w:tr w:rsidR="00C83125" w:rsidTr="00C676F5">
        <w:trPr>
          <w:tblHeader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i w:val="0"/>
                <w:iCs w:val="0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right w:val="single" w:sz="4" w:space="0" w:color="auto"/>
            </w:tcBorders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125" w:rsidRDefault="00C83125" w:rsidP="00EF4B36">
            <w:pPr>
              <w:pStyle w:val="TableHeading"/>
              <w:rPr>
                <w:sz w:val="24"/>
                <w:szCs w:val="24"/>
              </w:rPr>
            </w:pPr>
          </w:p>
        </w:tc>
      </w:tr>
    </w:tbl>
    <w:p w:rsidR="00C676F5" w:rsidRDefault="00C676F5"/>
    <w:p w:rsidR="00010925" w:rsidRDefault="00010925" w:rsidP="00010925">
      <w:pPr>
        <w:jc w:val="right"/>
        <w:rPr>
          <w:rFonts w:cs="Times New Roman"/>
          <w:color w:val="000000"/>
        </w:rPr>
      </w:pPr>
      <w:r w:rsidRPr="003934C6">
        <w:rPr>
          <w:rFonts w:cs="Times New Roman"/>
          <w:color w:val="000000"/>
        </w:rPr>
        <w:t>Data podpis i pieczęć wykonawcy</w:t>
      </w:r>
    </w:p>
    <w:p w:rsidR="00010925" w:rsidRDefault="00010925" w:rsidP="00010925">
      <w:pPr>
        <w:jc w:val="right"/>
      </w:pPr>
      <w:r>
        <w:rPr>
          <w:rFonts w:cs="Times New Roman"/>
          <w:color w:val="000000"/>
        </w:rPr>
        <w:t>……………………………………</w:t>
      </w:r>
    </w:p>
    <w:p w:rsidR="00010925" w:rsidRDefault="00010925" w:rsidP="00010925">
      <w:pPr>
        <w:jc w:val="right"/>
      </w:pPr>
    </w:p>
    <w:sectPr w:rsidR="00010925" w:rsidSect="004E6E9E">
      <w:pgSz w:w="16840" w:h="11907" w:orient="landscape" w:code="9"/>
      <w:pgMar w:top="1418" w:right="1418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A4"/>
    <w:rsid w:val="00010925"/>
    <w:rsid w:val="00030C5F"/>
    <w:rsid w:val="000E4925"/>
    <w:rsid w:val="002150B6"/>
    <w:rsid w:val="004029B2"/>
    <w:rsid w:val="004E6E9E"/>
    <w:rsid w:val="005C4EA4"/>
    <w:rsid w:val="00720CEC"/>
    <w:rsid w:val="00B51FAB"/>
    <w:rsid w:val="00C676F5"/>
    <w:rsid w:val="00C8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E6E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Heading">
    <w:name w:val="Table Heading"/>
    <w:basedOn w:val="Normalny"/>
    <w:rsid w:val="004E6E9E"/>
    <w:pPr>
      <w:widowControl/>
      <w:suppressLineNumbers/>
      <w:jc w:val="center"/>
    </w:pPr>
    <w:rPr>
      <w:rFonts w:eastAsia="Times New Roman" w:cs="Times New Roman"/>
      <w:b/>
      <w:bCs/>
      <w:i/>
      <w:iCs/>
      <w:sz w:val="20"/>
      <w:szCs w:val="20"/>
    </w:rPr>
  </w:style>
  <w:style w:type="paragraph" w:customStyle="1" w:styleId="TableContents">
    <w:name w:val="Table Contents"/>
    <w:basedOn w:val="Normalny"/>
    <w:rsid w:val="004E6E9E"/>
    <w:pPr>
      <w:widowControl/>
      <w:suppressLineNumbers/>
    </w:pPr>
    <w:rPr>
      <w:rFonts w:eastAsia="Times New Roman" w:cs="Times New Roman"/>
      <w:sz w:val="20"/>
      <w:szCs w:val="20"/>
    </w:rPr>
  </w:style>
  <w:style w:type="paragraph" w:customStyle="1" w:styleId="Standard">
    <w:name w:val="Standard"/>
    <w:rsid w:val="00C67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C676F5"/>
    <w:pPr>
      <w:jc w:val="both"/>
    </w:pPr>
  </w:style>
  <w:style w:type="paragraph" w:styleId="Podtytu">
    <w:name w:val="Subtitle"/>
    <w:basedOn w:val="Standard"/>
    <w:next w:val="Textbody"/>
    <w:link w:val="PodtytuZnak"/>
    <w:rsid w:val="00C676F5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676F5"/>
    <w:rPr>
      <w:rFonts w:ascii="Times New Roman" w:eastAsia="Times New Roman" w:hAnsi="Times New Roman" w:cs="Times New Roman"/>
      <w:b/>
      <w:kern w:val="3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E97E1-68F3-4B32-85E7-8F286B0E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9</cp:revision>
  <dcterms:created xsi:type="dcterms:W3CDTF">2012-07-11T07:41:00Z</dcterms:created>
  <dcterms:modified xsi:type="dcterms:W3CDTF">2014-01-15T07:27:00Z</dcterms:modified>
</cp:coreProperties>
</file>