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C676F5" w:rsidRDefault="00C676F5" w:rsidP="00C676F5">
      <w:pPr>
        <w:pStyle w:val="Podtytu"/>
      </w:pPr>
      <w:r>
        <w:t>Pakiet nr I</w:t>
      </w:r>
      <w:r w:rsidR="00140A93">
        <w:t>II</w:t>
      </w:r>
      <w:r>
        <w:t xml:space="preserve">                                                                                    </w:t>
      </w:r>
    </w:p>
    <w:p w:rsidR="00C676F5" w:rsidRDefault="00140A93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140A93">
        <w:rPr>
          <w:b/>
          <w:bCs/>
          <w:sz w:val="24"/>
          <w:szCs w:val="24"/>
        </w:rPr>
        <w:t>Preparaty do dezynfekcji i leczenia ran.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</w:t>
      </w:r>
      <w:r w:rsidR="00381A60">
        <w:rPr>
          <w:b/>
          <w:sz w:val="24"/>
          <w:szCs w:val="24"/>
          <w:u w:val="single"/>
        </w:rPr>
        <w:t>dywana wielkość zamówienia na 24</w:t>
      </w:r>
      <w:r>
        <w:rPr>
          <w:b/>
          <w:sz w:val="24"/>
          <w:szCs w:val="24"/>
          <w:u w:val="single"/>
        </w:rPr>
        <w:t xml:space="preserve"> miesi</w:t>
      </w:r>
      <w:r w:rsidR="00381A60">
        <w:rPr>
          <w:b/>
          <w:sz w:val="24"/>
          <w:szCs w:val="24"/>
          <w:u w:val="single"/>
        </w:rPr>
        <w:t>ące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720CEC" w:rsidRDefault="00720CEC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720CEC">
              <w:rPr>
                <w:color w:val="000000"/>
                <w:sz w:val="22"/>
                <w:szCs w:val="22"/>
              </w:rPr>
              <w:t xml:space="preserve">Bezbarwny preparat na bazie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octenidyny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, do stosowania w profilaktyce i leczeniu ran,  błon śluzowych, skóry., o przedłużonym działaniu. Niezawierający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chlorheksydyny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, jodu i jego związków. Wartość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6,0. Aktywny wobec bakterii ( włącznie z MRSA ), grzybów, wirusów ( HBV, HIV,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Herpes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>) , pierwotniaków. 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720CEC" w:rsidRDefault="00720CEC" w:rsidP="00720CEC">
            <w:pPr>
              <w:widowControl/>
              <w:suppressLineNumbers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20CEC">
              <w:rPr>
                <w:rFonts w:eastAsia="Times New Roman" w:cs="Times New Roman"/>
                <w:color w:val="000000"/>
                <w:sz w:val="26"/>
                <w:szCs w:val="26"/>
              </w:rPr>
              <w:t>But.250 ml</w:t>
            </w:r>
          </w:p>
          <w:p w:rsidR="00720CEC" w:rsidRPr="00720CEC" w:rsidRDefault="00720CEC" w:rsidP="00720CEC">
            <w:pPr>
              <w:widowControl/>
              <w:suppressLineNumbers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720CEC" w:rsidRPr="004E6E9E" w:rsidRDefault="00720CEC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D770D7" w:rsidRDefault="00381A60" w:rsidP="00EF4B36">
            <w:pPr>
              <w:pStyle w:val="TableHeading"/>
              <w:rPr>
                <w:i w:val="0"/>
                <w:sz w:val="24"/>
                <w:szCs w:val="24"/>
              </w:rPr>
            </w:pPr>
            <w:r>
              <w:rPr>
                <w:i w:val="0"/>
                <w:sz w:val="26"/>
                <w:szCs w:val="26"/>
              </w:rPr>
              <w:t>113</w:t>
            </w:r>
            <w:r w:rsidR="00720CEC" w:rsidRPr="00D770D7">
              <w:rPr>
                <w:i w:val="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720CEC" w:rsidRDefault="00720CEC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720CEC">
              <w:rPr>
                <w:color w:val="000000"/>
                <w:sz w:val="22"/>
                <w:szCs w:val="22"/>
              </w:rPr>
              <w:t xml:space="preserve">Bezbarwny preparat na bazie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octenidyny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, do stosowania w profilaktyce i leczeniu ran,  błon śluzowych, skóry., o przedłużonym działaniu. Niezawierający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chlorheksydyny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, jodu i jego związków. Wartość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6,0. Aktywny wobec bakterii ( włącznie z MRSA ), grzybów, wirusów ( HBV, HIV,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Herpes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>) , pierwotniaków. 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720CEC">
            <w:pPr>
              <w:pStyle w:val="TableContents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But.1000 ml</w:t>
            </w:r>
          </w:p>
          <w:p w:rsidR="00720CEC" w:rsidRPr="004E6E9E" w:rsidRDefault="00720CEC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381A60" w:rsidRDefault="00381A60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381A60">
              <w:rPr>
                <w:i w:val="0"/>
                <w:color w:val="000000"/>
                <w:sz w:val="26"/>
                <w:szCs w:val="26"/>
              </w:rPr>
              <w:t>260</w:t>
            </w:r>
            <w:r w:rsidR="00720CEC" w:rsidRPr="00381A60">
              <w:rPr>
                <w:i w:val="0"/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720CEC" w:rsidRDefault="00720CEC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720CEC">
              <w:rPr>
                <w:color w:val="000000"/>
                <w:sz w:val="22"/>
                <w:szCs w:val="22"/>
              </w:rPr>
              <w:t>Preparat w postaci płynu. Przeznaczony do irygacji,</w:t>
            </w:r>
          </w:p>
          <w:p w:rsidR="00720CEC" w:rsidRPr="00720CEC" w:rsidRDefault="00720CEC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720CEC">
              <w:rPr>
                <w:color w:val="000000"/>
                <w:sz w:val="22"/>
                <w:szCs w:val="22"/>
              </w:rPr>
              <w:t xml:space="preserve">czyszczenia oraz nawilżania przewlekłych ran skóry .Ułatwiający usunięcie skrzepów oraz martwej tkanki. Oparty o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dichlorowodorek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oktenidyny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But.350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D770D7" w:rsidRDefault="00381A60" w:rsidP="00381A60">
            <w:pPr>
              <w:pStyle w:val="TableHeading"/>
              <w:rPr>
                <w:i w:val="0"/>
                <w:sz w:val="24"/>
                <w:szCs w:val="24"/>
              </w:rPr>
            </w:pPr>
            <w:r>
              <w:rPr>
                <w:i w:val="0"/>
                <w:color w:val="000000"/>
                <w:sz w:val="26"/>
                <w:szCs w:val="26"/>
              </w:rPr>
              <w:t xml:space="preserve">9,1 </w:t>
            </w:r>
            <w:r w:rsidR="00720CEC" w:rsidRPr="00D770D7">
              <w:rPr>
                <w:i w:val="0"/>
                <w:color w:val="000000"/>
                <w:sz w:val="26"/>
                <w:szCs w:val="26"/>
              </w:rPr>
              <w:t>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720CEC" w:rsidRDefault="00720CEC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720CEC">
              <w:rPr>
                <w:color w:val="000000"/>
                <w:sz w:val="22"/>
                <w:szCs w:val="22"/>
              </w:rPr>
              <w:t>Preparat w formie żelu,</w:t>
            </w:r>
            <w:r w:rsidR="00381A60">
              <w:rPr>
                <w:color w:val="000000"/>
                <w:sz w:val="22"/>
                <w:szCs w:val="22"/>
              </w:rPr>
              <w:t xml:space="preserve"> </w:t>
            </w:r>
            <w:r w:rsidRPr="00720CEC">
              <w:rPr>
                <w:color w:val="000000"/>
                <w:sz w:val="22"/>
                <w:szCs w:val="22"/>
              </w:rPr>
              <w:t xml:space="preserve">do nawilżania i oczyszczania skolonizowanych oraz skontaminowanych ran ( w tym ran oparzeniowych).Możliwość pozostawienia pod opatrunkiem do 5 dni .Oparty o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dichlorowodorek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CEC">
              <w:rPr>
                <w:color w:val="000000"/>
                <w:sz w:val="22"/>
                <w:szCs w:val="22"/>
              </w:rPr>
              <w:t>octenidyny</w:t>
            </w:r>
            <w:proofErr w:type="spellEnd"/>
            <w:r w:rsidRPr="00720C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Op.20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D770D7" w:rsidRDefault="00381A60" w:rsidP="00EF4B36">
            <w:pPr>
              <w:pStyle w:val="TableHeading"/>
              <w:rPr>
                <w:i w:val="0"/>
                <w:sz w:val="24"/>
                <w:szCs w:val="24"/>
              </w:rPr>
            </w:pPr>
            <w:r>
              <w:rPr>
                <w:i w:val="0"/>
                <w:color w:val="000000"/>
                <w:sz w:val="26"/>
                <w:szCs w:val="26"/>
              </w:rPr>
              <w:t>1</w:t>
            </w:r>
            <w:r w:rsidR="00720CEC" w:rsidRPr="00D770D7">
              <w:rPr>
                <w:i w:val="0"/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C676F5" w:rsidRDefault="00C676F5"/>
    <w:p w:rsidR="00D770D7" w:rsidRDefault="00D770D7" w:rsidP="00D770D7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D770D7" w:rsidRDefault="00D770D7" w:rsidP="00D770D7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D770D7" w:rsidRDefault="00D770D7" w:rsidP="00D770D7">
      <w:pPr>
        <w:jc w:val="right"/>
      </w:pPr>
      <w:bookmarkStart w:id="0" w:name="_GoBack"/>
      <w:bookmarkEnd w:id="0"/>
    </w:p>
    <w:sectPr w:rsidR="00D770D7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E4925"/>
    <w:rsid w:val="00140A93"/>
    <w:rsid w:val="00381A60"/>
    <w:rsid w:val="004E6E9E"/>
    <w:rsid w:val="005C4EA4"/>
    <w:rsid w:val="00720CEC"/>
    <w:rsid w:val="00B51FAB"/>
    <w:rsid w:val="00C676F5"/>
    <w:rsid w:val="00D7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E6F9-D225-43D4-AE02-8B005A35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6</cp:revision>
  <dcterms:created xsi:type="dcterms:W3CDTF">2012-07-11T07:41:00Z</dcterms:created>
  <dcterms:modified xsi:type="dcterms:W3CDTF">2014-01-14T13:02:00Z</dcterms:modified>
</cp:coreProperties>
</file>