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FAB" w:rsidRDefault="00B51FAB"/>
    <w:p w:rsidR="006D1E97" w:rsidRDefault="00C676F5" w:rsidP="00C676F5">
      <w:pPr>
        <w:pStyle w:val="Podtytu"/>
      </w:pPr>
      <w:r>
        <w:t xml:space="preserve">Pakiet nr </w:t>
      </w:r>
      <w:r w:rsidR="004B4DA1">
        <w:t>V</w:t>
      </w:r>
      <w:r>
        <w:t>I</w:t>
      </w:r>
    </w:p>
    <w:p w:rsidR="00C676F5" w:rsidRDefault="00C676F5" w:rsidP="00C676F5">
      <w:pPr>
        <w:pStyle w:val="Podtytu"/>
      </w:pPr>
      <w:r>
        <w:t xml:space="preserve">                                                                                    </w:t>
      </w:r>
    </w:p>
    <w:p w:rsidR="00C676F5" w:rsidRDefault="00C676F5" w:rsidP="00C676F5">
      <w:pPr>
        <w:pStyle w:val="Text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6D1E97" w:rsidRPr="006D1E97">
        <w:rPr>
          <w:b/>
          <w:bCs/>
          <w:sz w:val="24"/>
          <w:szCs w:val="24"/>
        </w:rPr>
        <w:t>Preparaty do dezynfekcji  powierzchni i sprzętu.</w:t>
      </w:r>
    </w:p>
    <w:p w:rsidR="00C676F5" w:rsidRDefault="00C676F5" w:rsidP="00C676F5">
      <w:pPr>
        <w:pStyle w:val="Standard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    Przewidywana wielkość zamówienia na 18 miesięcy</w:t>
      </w:r>
    </w:p>
    <w:p w:rsidR="004E6E9E" w:rsidRDefault="004E6E9E"/>
    <w:p w:rsidR="004E6E9E" w:rsidRDefault="004E6E9E"/>
    <w:tbl>
      <w:tblPr>
        <w:tblW w:w="1284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"/>
        <w:gridCol w:w="3760"/>
        <w:gridCol w:w="1486"/>
        <w:gridCol w:w="1173"/>
        <w:gridCol w:w="1548"/>
        <w:gridCol w:w="1548"/>
        <w:gridCol w:w="1239"/>
        <w:gridCol w:w="1549"/>
      </w:tblGrid>
      <w:tr w:rsidR="004E6E9E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i w:val="0"/>
                <w:iCs w:val="0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Charakterystyka preparatu</w:t>
            </w:r>
          </w:p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 działania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Opakowanie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roztworu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opakowań wynikająca z przeliczenia ilości zamawianej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jednostkowa brutto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Wartość brutto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handlowa preparatów</w:t>
            </w:r>
          </w:p>
        </w:tc>
      </w:tr>
      <w:tr w:rsidR="00720CEC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Pr="006D1E97" w:rsidRDefault="006D1E97" w:rsidP="006D1E97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6D1E97">
              <w:rPr>
                <w:color w:val="000000"/>
                <w:sz w:val="22"/>
                <w:szCs w:val="22"/>
              </w:rPr>
              <w:t>Preparat na bazie min. dwóch alkoholi ( bez etanolu) i</w:t>
            </w:r>
            <w:r w:rsidR="005D06D1">
              <w:rPr>
                <w:color w:val="000000"/>
                <w:sz w:val="22"/>
                <w:szCs w:val="22"/>
              </w:rPr>
              <w:t xml:space="preserve"> </w:t>
            </w:r>
            <w:r w:rsidRPr="006D1E97">
              <w:rPr>
                <w:color w:val="000000"/>
                <w:sz w:val="22"/>
                <w:szCs w:val="22"/>
              </w:rPr>
              <w:t xml:space="preserve">amfoterycznych związków powierzchniowo czynnych, przeznaczony do szybkiej dezynfekcji  powierzchni i sprzętu medycznego. Wymagana pozytywna opinia kliniczna </w:t>
            </w:r>
            <w:proofErr w:type="spellStart"/>
            <w:r w:rsidRPr="006D1E97">
              <w:rPr>
                <w:color w:val="000000"/>
                <w:sz w:val="22"/>
                <w:szCs w:val="22"/>
              </w:rPr>
              <w:t>IMiDz</w:t>
            </w:r>
            <w:proofErr w:type="spellEnd"/>
            <w:r w:rsidRPr="006D1E97">
              <w:rPr>
                <w:color w:val="000000"/>
                <w:sz w:val="22"/>
                <w:szCs w:val="22"/>
              </w:rPr>
              <w:t xml:space="preserve"> Czas i spektrum działania:</w:t>
            </w:r>
          </w:p>
          <w:p w:rsidR="006D1E97" w:rsidRPr="006D1E97" w:rsidRDefault="006D1E97" w:rsidP="006D1E97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6D1E97">
              <w:rPr>
                <w:color w:val="000000"/>
                <w:sz w:val="22"/>
                <w:szCs w:val="22"/>
              </w:rPr>
              <w:t>B,F,Rotawirusy-1 min,</w:t>
            </w:r>
          </w:p>
          <w:p w:rsidR="006D1E97" w:rsidRPr="006D1E97" w:rsidRDefault="006D1E97" w:rsidP="006D1E97">
            <w:pPr>
              <w:pStyle w:val="TableContents"/>
              <w:rPr>
                <w:color w:val="000000"/>
                <w:sz w:val="22"/>
                <w:szCs w:val="22"/>
              </w:rPr>
            </w:pPr>
            <w:proofErr w:type="spellStart"/>
            <w:r w:rsidRPr="006D1E97">
              <w:rPr>
                <w:color w:val="000000"/>
                <w:sz w:val="22"/>
                <w:szCs w:val="22"/>
              </w:rPr>
              <w:t>Tbc,V</w:t>
            </w:r>
            <w:proofErr w:type="spellEnd"/>
            <w:r w:rsidRPr="006D1E97">
              <w:rPr>
                <w:color w:val="000000"/>
                <w:sz w:val="22"/>
                <w:szCs w:val="22"/>
              </w:rPr>
              <w:t xml:space="preserve"> ( </w:t>
            </w:r>
            <w:proofErr w:type="spellStart"/>
            <w:r w:rsidRPr="006D1E97">
              <w:rPr>
                <w:color w:val="000000"/>
                <w:sz w:val="22"/>
                <w:szCs w:val="22"/>
              </w:rPr>
              <w:t>HBV,HIV,Adeno,Vakzinia</w:t>
            </w:r>
            <w:proofErr w:type="spellEnd"/>
            <w:r w:rsidRPr="006D1E97">
              <w:rPr>
                <w:color w:val="000000"/>
                <w:sz w:val="22"/>
                <w:szCs w:val="22"/>
              </w:rPr>
              <w:t>)-5 min.</w:t>
            </w:r>
          </w:p>
          <w:p w:rsidR="006D1E97" w:rsidRPr="006D1E97" w:rsidRDefault="006D1E97" w:rsidP="006D1E97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6D1E97">
              <w:rPr>
                <w:color w:val="000000"/>
                <w:sz w:val="22"/>
                <w:szCs w:val="22"/>
              </w:rPr>
              <w:t xml:space="preserve"> Wymagana deklaracja zgodności CE.</w:t>
            </w:r>
          </w:p>
          <w:p w:rsidR="00720CEC" w:rsidRPr="00720CEC" w:rsidRDefault="006D1E97" w:rsidP="006D1E97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6D1E97">
              <w:rPr>
                <w:color w:val="000000"/>
                <w:sz w:val="22"/>
                <w:szCs w:val="22"/>
              </w:rPr>
              <w:t>Wymagany jest spryskiwacz do każdej butelki.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6D1E97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But.1000 ml ze spryskiwaczem</w:t>
            </w:r>
          </w:p>
          <w:p w:rsidR="00720CEC" w:rsidRPr="004E6E9E" w:rsidRDefault="00720CEC" w:rsidP="00EF4B36">
            <w:pPr>
              <w:pStyle w:val="TableHeading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6D1E97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500 L</w:t>
            </w:r>
          </w:p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6D1E97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lastRenderedPageBreak/>
              <w:t>2.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Pr="006D1E97" w:rsidRDefault="006D1E97" w:rsidP="006D1E97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6D1E97">
              <w:rPr>
                <w:color w:val="000000"/>
                <w:sz w:val="22"/>
                <w:szCs w:val="22"/>
              </w:rPr>
              <w:t xml:space="preserve">Preparat na bazie min. dwóch alkoholi ( bez etanolu) </w:t>
            </w:r>
            <w:proofErr w:type="spellStart"/>
            <w:r w:rsidRPr="006D1E97">
              <w:rPr>
                <w:color w:val="000000"/>
                <w:sz w:val="22"/>
                <w:szCs w:val="22"/>
              </w:rPr>
              <w:t>iamfoterycznych</w:t>
            </w:r>
            <w:proofErr w:type="spellEnd"/>
            <w:r w:rsidRPr="006D1E97">
              <w:rPr>
                <w:color w:val="000000"/>
                <w:sz w:val="22"/>
                <w:szCs w:val="22"/>
              </w:rPr>
              <w:t xml:space="preserve"> związków powierzchniowo czynnych, przeznaczony do szybkiej dezynfekcji  powierzchni i sprzętu medycznego. Wymagana pozytywna opinia kliniczna </w:t>
            </w:r>
            <w:proofErr w:type="spellStart"/>
            <w:r w:rsidRPr="006D1E97">
              <w:rPr>
                <w:color w:val="000000"/>
                <w:sz w:val="22"/>
                <w:szCs w:val="22"/>
              </w:rPr>
              <w:t>IMiDz</w:t>
            </w:r>
            <w:proofErr w:type="spellEnd"/>
            <w:r w:rsidRPr="006D1E97">
              <w:rPr>
                <w:color w:val="000000"/>
                <w:sz w:val="22"/>
                <w:szCs w:val="22"/>
              </w:rPr>
              <w:t xml:space="preserve"> Czas i spektrum działania:</w:t>
            </w:r>
          </w:p>
          <w:p w:rsidR="006D1E97" w:rsidRPr="006D1E97" w:rsidRDefault="006D1E97" w:rsidP="006D1E97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6D1E97">
              <w:rPr>
                <w:color w:val="000000"/>
                <w:sz w:val="22"/>
                <w:szCs w:val="22"/>
              </w:rPr>
              <w:t>B,F,Rotawirusy-1 min,</w:t>
            </w:r>
          </w:p>
          <w:p w:rsidR="006D1E97" w:rsidRPr="006D1E97" w:rsidRDefault="006D1E97" w:rsidP="006D1E97">
            <w:pPr>
              <w:pStyle w:val="TableContents"/>
              <w:rPr>
                <w:color w:val="000000"/>
                <w:sz w:val="22"/>
                <w:szCs w:val="22"/>
              </w:rPr>
            </w:pPr>
            <w:proofErr w:type="spellStart"/>
            <w:r w:rsidRPr="006D1E97">
              <w:rPr>
                <w:color w:val="000000"/>
                <w:sz w:val="22"/>
                <w:szCs w:val="22"/>
              </w:rPr>
              <w:t>Tbc,V</w:t>
            </w:r>
            <w:proofErr w:type="spellEnd"/>
            <w:r w:rsidRPr="006D1E97">
              <w:rPr>
                <w:color w:val="000000"/>
                <w:sz w:val="22"/>
                <w:szCs w:val="22"/>
              </w:rPr>
              <w:t xml:space="preserve"> ( </w:t>
            </w:r>
            <w:proofErr w:type="spellStart"/>
            <w:r w:rsidRPr="006D1E97">
              <w:rPr>
                <w:color w:val="000000"/>
                <w:sz w:val="22"/>
                <w:szCs w:val="22"/>
              </w:rPr>
              <w:t>HBV,HIV,Adeno,Vakzinia</w:t>
            </w:r>
            <w:proofErr w:type="spellEnd"/>
            <w:r w:rsidRPr="006D1E97">
              <w:rPr>
                <w:color w:val="000000"/>
                <w:sz w:val="22"/>
                <w:szCs w:val="22"/>
              </w:rPr>
              <w:t>)-5 min.</w:t>
            </w:r>
          </w:p>
          <w:p w:rsidR="006D1E97" w:rsidRPr="006D1E97" w:rsidRDefault="006D1E97" w:rsidP="006D1E97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6D1E97">
              <w:rPr>
                <w:color w:val="000000"/>
                <w:sz w:val="22"/>
                <w:szCs w:val="22"/>
              </w:rPr>
              <w:t xml:space="preserve"> Wymagana deklaracja zgodności CE.</w:t>
            </w:r>
          </w:p>
          <w:p w:rsidR="006D1E97" w:rsidRPr="00720CEC" w:rsidRDefault="006D1E97" w:rsidP="006D1E97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6D1E97">
              <w:rPr>
                <w:color w:val="000000"/>
                <w:sz w:val="22"/>
                <w:szCs w:val="22"/>
              </w:rPr>
              <w:t>Wymagany jest spryskiwacz do każdej butelki.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1B2F97">
            <w:pPr>
              <w:pStyle w:val="TableContents"/>
              <w:rPr>
                <w:color w:val="000000"/>
              </w:rPr>
            </w:pPr>
          </w:p>
          <w:p w:rsidR="006D1E97" w:rsidRDefault="006D1E97" w:rsidP="001B2F97">
            <w:pPr>
              <w:pStyle w:val="TableContents"/>
              <w:rPr>
                <w:color w:val="000000"/>
              </w:rPr>
            </w:pPr>
          </w:p>
          <w:p w:rsidR="006D1E97" w:rsidRDefault="006D1E97" w:rsidP="001B2F97">
            <w:pPr>
              <w:pStyle w:val="TableContents"/>
              <w:rPr>
                <w:color w:val="000000"/>
              </w:rPr>
            </w:pPr>
          </w:p>
          <w:p w:rsidR="006D1E97" w:rsidRDefault="006D1E97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Kan.5 l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300 L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1E97" w:rsidRDefault="006D1E97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6D1E97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Pr="006D1E97" w:rsidRDefault="006D1E97" w:rsidP="006D1E97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6D1E97">
              <w:rPr>
                <w:color w:val="000000"/>
                <w:sz w:val="22"/>
                <w:szCs w:val="22"/>
              </w:rPr>
              <w:t xml:space="preserve">Gotowy do użycia preparat do szybkiej dezynfekcji sprzętu medycznego i wszelkich powierzchni wrażliwych na działanie alkoholi również na oddziałach pediatrycznych ( pozytywna opinia kliniczna </w:t>
            </w:r>
            <w:proofErr w:type="spellStart"/>
            <w:r w:rsidRPr="006D1E97">
              <w:rPr>
                <w:color w:val="000000"/>
                <w:sz w:val="22"/>
                <w:szCs w:val="22"/>
              </w:rPr>
              <w:t>IMiDz</w:t>
            </w:r>
            <w:proofErr w:type="spellEnd"/>
            <w:r w:rsidRPr="006D1E97">
              <w:rPr>
                <w:color w:val="000000"/>
                <w:sz w:val="22"/>
                <w:szCs w:val="22"/>
              </w:rPr>
              <w:t xml:space="preserve">). Nie zawierający aldehydów .Zawierający </w:t>
            </w:r>
            <w:proofErr w:type="spellStart"/>
            <w:r w:rsidRPr="006D1E97">
              <w:rPr>
                <w:color w:val="000000"/>
                <w:sz w:val="22"/>
                <w:szCs w:val="22"/>
              </w:rPr>
              <w:t>glukoprotaminę</w:t>
            </w:r>
            <w:proofErr w:type="spellEnd"/>
            <w:r w:rsidRPr="006D1E97">
              <w:rPr>
                <w:color w:val="000000"/>
                <w:sz w:val="22"/>
                <w:szCs w:val="22"/>
              </w:rPr>
              <w:t>.. .Dozowany w postaci piany, opakowanie z końcówką spieniającą, bez zawartości freonu.</w:t>
            </w:r>
          </w:p>
          <w:p w:rsidR="006D1E97" w:rsidRPr="006D1E97" w:rsidRDefault="006D1E97" w:rsidP="006D1E97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6D1E97">
              <w:rPr>
                <w:color w:val="000000"/>
                <w:sz w:val="22"/>
                <w:szCs w:val="22"/>
              </w:rPr>
              <w:t>Czas i spektrum działania:</w:t>
            </w:r>
          </w:p>
          <w:p w:rsidR="006D1E97" w:rsidRPr="006D1E97" w:rsidRDefault="006D1E97" w:rsidP="006D1E97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6D1E97">
              <w:rPr>
                <w:color w:val="000000"/>
                <w:sz w:val="22"/>
                <w:szCs w:val="22"/>
              </w:rPr>
              <w:t>B,F,Adeno,Rotawirusy-1 min</w:t>
            </w:r>
          </w:p>
          <w:p w:rsidR="006D1E97" w:rsidRPr="005D06D1" w:rsidRDefault="006D1E97" w:rsidP="006D1E97">
            <w:pPr>
              <w:pStyle w:val="TableContents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5D06D1">
              <w:rPr>
                <w:color w:val="000000"/>
                <w:sz w:val="22"/>
                <w:szCs w:val="22"/>
                <w:lang w:val="en-US"/>
              </w:rPr>
              <w:t>Tbc,V</w:t>
            </w:r>
            <w:proofErr w:type="spellEnd"/>
            <w:r w:rsidRPr="005D06D1">
              <w:rPr>
                <w:color w:val="000000"/>
                <w:sz w:val="22"/>
                <w:szCs w:val="22"/>
                <w:lang w:val="en-US"/>
              </w:rPr>
              <w:t>(HBV, HIV)-5 min.</w:t>
            </w:r>
          </w:p>
          <w:p w:rsidR="006D1E97" w:rsidRPr="00720CEC" w:rsidRDefault="006D1E97" w:rsidP="006D1E97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6D1E97">
              <w:rPr>
                <w:color w:val="000000"/>
                <w:sz w:val="22"/>
                <w:szCs w:val="22"/>
              </w:rPr>
              <w:t>Wymagana deklaracja zgodności CE.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But.750 ml -1000 ml</w:t>
            </w:r>
          </w:p>
          <w:p w:rsidR="006D1E97" w:rsidRDefault="006D1E97" w:rsidP="001B2F97">
            <w:pPr>
              <w:pStyle w:val="TableContents"/>
              <w:rPr>
                <w:color w:val="000000"/>
              </w:rPr>
            </w:pPr>
          </w:p>
          <w:p w:rsidR="006D1E97" w:rsidRDefault="006D1E97" w:rsidP="001B2F97">
            <w:pPr>
              <w:pStyle w:val="TableContents"/>
              <w:rPr>
                <w:color w:val="000000"/>
              </w:rPr>
            </w:pPr>
          </w:p>
          <w:p w:rsidR="006D1E97" w:rsidRDefault="006D1E97" w:rsidP="001B2F97">
            <w:pPr>
              <w:pStyle w:val="TableContents"/>
              <w:rPr>
                <w:color w:val="000000"/>
              </w:rPr>
            </w:pPr>
          </w:p>
          <w:p w:rsidR="006D1E97" w:rsidRDefault="006D1E97" w:rsidP="001B2F97">
            <w:pPr>
              <w:pStyle w:val="TableContents"/>
              <w:rPr>
                <w:color w:val="000000"/>
              </w:rPr>
            </w:pPr>
          </w:p>
          <w:p w:rsidR="006D1E97" w:rsidRDefault="006D1E97" w:rsidP="001B2F97">
            <w:pPr>
              <w:pStyle w:val="TableContents"/>
              <w:rPr>
                <w:color w:val="000000"/>
              </w:rPr>
            </w:pPr>
          </w:p>
          <w:p w:rsidR="006D1E97" w:rsidRDefault="006D1E97" w:rsidP="001B2F97">
            <w:pPr>
              <w:pStyle w:val="TableContents"/>
              <w:rPr>
                <w:color w:val="000000"/>
              </w:rPr>
            </w:pPr>
          </w:p>
          <w:p w:rsidR="006D1E97" w:rsidRDefault="006D1E97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</w:p>
          <w:p w:rsidR="006D1E97" w:rsidRDefault="006D1E97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80 L</w:t>
            </w:r>
          </w:p>
          <w:p w:rsidR="006D1E97" w:rsidRDefault="006D1E97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</w:p>
          <w:p w:rsidR="006D1E97" w:rsidRDefault="006D1E97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</w:p>
          <w:p w:rsidR="006D1E97" w:rsidRDefault="006D1E97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</w:p>
          <w:p w:rsidR="006D1E97" w:rsidRDefault="006D1E97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</w:p>
          <w:p w:rsidR="006D1E97" w:rsidRDefault="006D1E97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</w:p>
          <w:p w:rsidR="006D1E97" w:rsidRDefault="006D1E97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1E97" w:rsidRDefault="006D1E97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6D1E97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lastRenderedPageBreak/>
              <w:t>4.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Pr="006D1E97" w:rsidRDefault="006D1E97" w:rsidP="006D1E97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6D1E97">
              <w:rPr>
                <w:color w:val="000000"/>
                <w:sz w:val="22"/>
                <w:szCs w:val="22"/>
              </w:rPr>
              <w:t xml:space="preserve">Preparat płynny w koncentracie do mycia i dezynfekcji powierzchni i sprzętu medycznego, przeznaczony również do dezynfekcji wszelkich pozostałych powierzchni zmywalnych oraz do dezynfekcji niewielkich przedmiotów przez  zanurzenie. Możliwość stosowania do metali np. Mosiądzu, tworzyw sztucznych np. poliwęglanów </w:t>
            </w:r>
            <w:proofErr w:type="spellStart"/>
            <w:r w:rsidRPr="006D1E97">
              <w:rPr>
                <w:color w:val="000000"/>
                <w:sz w:val="22"/>
                <w:szCs w:val="22"/>
              </w:rPr>
              <w:t>elastomerów,podłóg</w:t>
            </w:r>
            <w:proofErr w:type="spellEnd"/>
            <w:r w:rsidRPr="006D1E97">
              <w:rPr>
                <w:color w:val="000000"/>
                <w:sz w:val="22"/>
                <w:szCs w:val="22"/>
              </w:rPr>
              <w:t xml:space="preserve">. Bez zawartości </w:t>
            </w:r>
            <w:proofErr w:type="spellStart"/>
            <w:r w:rsidRPr="006D1E97">
              <w:rPr>
                <w:color w:val="000000"/>
                <w:sz w:val="22"/>
                <w:szCs w:val="22"/>
              </w:rPr>
              <w:t>kwasów;pH</w:t>
            </w:r>
            <w:proofErr w:type="spellEnd"/>
            <w:r w:rsidRPr="006D1E97">
              <w:rPr>
                <w:color w:val="000000"/>
                <w:sz w:val="22"/>
                <w:szCs w:val="22"/>
              </w:rPr>
              <w:t xml:space="preserve"> 8.Do stosowania w obecności pacjenta i </w:t>
            </w:r>
            <w:proofErr w:type="spellStart"/>
            <w:r w:rsidRPr="006D1E97">
              <w:rPr>
                <w:color w:val="000000"/>
                <w:sz w:val="22"/>
                <w:szCs w:val="22"/>
              </w:rPr>
              <w:t>personelu.Oparty</w:t>
            </w:r>
            <w:proofErr w:type="spellEnd"/>
            <w:r w:rsidRPr="006D1E97">
              <w:rPr>
                <w:color w:val="000000"/>
                <w:sz w:val="22"/>
                <w:szCs w:val="22"/>
              </w:rPr>
              <w:t xml:space="preserve"> o min .trzy substancje aktywne</w:t>
            </w:r>
          </w:p>
          <w:p w:rsidR="006D1E97" w:rsidRPr="00720CEC" w:rsidRDefault="006D1E97" w:rsidP="006D1E97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6D1E97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6D1E97">
              <w:rPr>
                <w:color w:val="000000"/>
                <w:sz w:val="22"/>
                <w:szCs w:val="22"/>
              </w:rPr>
              <w:t>QAV,pochodne</w:t>
            </w:r>
            <w:proofErr w:type="spellEnd"/>
            <w:r w:rsidRPr="006D1E9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D1E97">
              <w:rPr>
                <w:color w:val="000000"/>
                <w:sz w:val="22"/>
                <w:szCs w:val="22"/>
              </w:rPr>
              <w:t>biquanidyny</w:t>
            </w:r>
            <w:proofErr w:type="spellEnd"/>
            <w:r w:rsidRPr="006D1E9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D1E97">
              <w:rPr>
                <w:color w:val="000000"/>
                <w:sz w:val="22"/>
                <w:szCs w:val="22"/>
              </w:rPr>
              <w:t>bifenylol</w:t>
            </w:r>
            <w:proofErr w:type="spellEnd"/>
            <w:r w:rsidRPr="006D1E97">
              <w:rPr>
                <w:color w:val="000000"/>
                <w:sz w:val="22"/>
                <w:szCs w:val="22"/>
              </w:rPr>
              <w:t xml:space="preserve">. Bez zawartości  aldehydów, aktywnego tlenu, kwasu nadoctowego i związków chlorowych. Działający na bakterie (łącznie z </w:t>
            </w:r>
            <w:proofErr w:type="spellStart"/>
            <w:r w:rsidRPr="006D1E97">
              <w:rPr>
                <w:color w:val="000000"/>
                <w:sz w:val="22"/>
                <w:szCs w:val="22"/>
              </w:rPr>
              <w:t>Tbc</w:t>
            </w:r>
            <w:proofErr w:type="spellEnd"/>
            <w:r w:rsidRPr="006D1E97">
              <w:rPr>
                <w:color w:val="000000"/>
                <w:sz w:val="22"/>
                <w:szCs w:val="22"/>
              </w:rPr>
              <w:t xml:space="preserve">), grzyby i wirusy ( HIV, HBV,HCV, Rota, </w:t>
            </w:r>
            <w:proofErr w:type="spellStart"/>
            <w:r w:rsidRPr="006D1E97">
              <w:rPr>
                <w:color w:val="000000"/>
                <w:sz w:val="22"/>
                <w:szCs w:val="22"/>
              </w:rPr>
              <w:t>Herpes</w:t>
            </w:r>
            <w:proofErr w:type="spellEnd"/>
            <w:r w:rsidRPr="006D1E97">
              <w:rPr>
                <w:color w:val="000000"/>
                <w:sz w:val="22"/>
                <w:szCs w:val="22"/>
              </w:rPr>
              <w:t>)  , przy niskich stężeniach roboczych 0,25 –0,5% w czasie do 15 min.</w:t>
            </w:r>
            <w:r>
              <w:rPr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Kan.6 l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150 L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1E97" w:rsidRDefault="006D1E97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6D1E97" w:rsidTr="00C676F5">
        <w:trPr>
          <w:tblHeader/>
        </w:trPr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right w:val="single" w:sz="4" w:space="0" w:color="auto"/>
            </w:tcBorders>
          </w:tcPr>
          <w:p w:rsidR="006D1E97" w:rsidRDefault="006D1E97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E97" w:rsidRDefault="006D1E97" w:rsidP="00EF4B36">
            <w:pPr>
              <w:pStyle w:val="TableHeading"/>
              <w:rPr>
                <w:sz w:val="24"/>
                <w:szCs w:val="24"/>
              </w:rPr>
            </w:pPr>
          </w:p>
        </w:tc>
      </w:tr>
    </w:tbl>
    <w:p w:rsidR="00C676F5" w:rsidRDefault="00C676F5"/>
    <w:p w:rsidR="005D06D1" w:rsidRDefault="005D06D1"/>
    <w:p w:rsidR="005D06D1" w:rsidRDefault="005D06D1"/>
    <w:p w:rsidR="005D06D1" w:rsidRDefault="005D06D1" w:rsidP="005D06D1">
      <w:pPr>
        <w:jc w:val="right"/>
        <w:rPr>
          <w:rFonts w:cs="Times New Roman"/>
          <w:color w:val="000000"/>
        </w:rPr>
      </w:pPr>
      <w:r w:rsidRPr="003934C6">
        <w:rPr>
          <w:rFonts w:cs="Times New Roman"/>
          <w:color w:val="000000"/>
        </w:rPr>
        <w:t>Data podpis i pieczęć wykonawcy</w:t>
      </w:r>
    </w:p>
    <w:p w:rsidR="005D06D1" w:rsidRDefault="005D06D1" w:rsidP="005D06D1">
      <w:pPr>
        <w:jc w:val="right"/>
      </w:pPr>
      <w:r>
        <w:rPr>
          <w:rFonts w:cs="Times New Roman"/>
          <w:color w:val="000000"/>
        </w:rPr>
        <w:t>……………………………………</w:t>
      </w:r>
    </w:p>
    <w:p w:rsidR="005D06D1" w:rsidRDefault="005D06D1" w:rsidP="005D06D1">
      <w:pPr>
        <w:jc w:val="right"/>
      </w:pPr>
      <w:bookmarkStart w:id="0" w:name="_GoBack"/>
      <w:bookmarkEnd w:id="0"/>
    </w:p>
    <w:sectPr w:rsidR="005D06D1" w:rsidSect="004E6E9E">
      <w:pgSz w:w="16840" w:h="11907" w:orient="landscape" w:code="9"/>
      <w:pgMar w:top="1418" w:right="1418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A4"/>
    <w:rsid w:val="000E4925"/>
    <w:rsid w:val="004B4DA1"/>
    <w:rsid w:val="004E6E9E"/>
    <w:rsid w:val="005C4EA4"/>
    <w:rsid w:val="005D06D1"/>
    <w:rsid w:val="006D1E97"/>
    <w:rsid w:val="00720CEC"/>
    <w:rsid w:val="00A827DE"/>
    <w:rsid w:val="00B51FAB"/>
    <w:rsid w:val="00C6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E6E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Heading">
    <w:name w:val="Table Heading"/>
    <w:basedOn w:val="Normalny"/>
    <w:rsid w:val="004E6E9E"/>
    <w:pPr>
      <w:widowControl/>
      <w:suppressLineNumbers/>
      <w:jc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TableContents">
    <w:name w:val="Table Contents"/>
    <w:basedOn w:val="Normalny"/>
    <w:rsid w:val="004E6E9E"/>
    <w:pPr>
      <w:widowControl/>
      <w:suppressLineNumbers/>
    </w:pPr>
    <w:rPr>
      <w:rFonts w:eastAsia="Times New Roman" w:cs="Times New Roman"/>
      <w:sz w:val="20"/>
      <w:szCs w:val="20"/>
    </w:rPr>
  </w:style>
  <w:style w:type="paragraph" w:customStyle="1" w:styleId="Standard">
    <w:name w:val="Standard"/>
    <w:rsid w:val="00C67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C676F5"/>
    <w:pPr>
      <w:jc w:val="both"/>
    </w:pPr>
  </w:style>
  <w:style w:type="paragraph" w:styleId="Podtytu">
    <w:name w:val="Subtitle"/>
    <w:basedOn w:val="Standard"/>
    <w:next w:val="Textbody"/>
    <w:link w:val="PodtytuZnak"/>
    <w:rsid w:val="00C676F5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676F5"/>
    <w:rPr>
      <w:rFonts w:ascii="Times New Roman" w:eastAsia="Times New Roman" w:hAnsi="Times New Roman" w:cs="Times New Roman"/>
      <w:b/>
      <w:kern w:val="3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E6E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Heading">
    <w:name w:val="Table Heading"/>
    <w:basedOn w:val="Normalny"/>
    <w:rsid w:val="004E6E9E"/>
    <w:pPr>
      <w:widowControl/>
      <w:suppressLineNumbers/>
      <w:jc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TableContents">
    <w:name w:val="Table Contents"/>
    <w:basedOn w:val="Normalny"/>
    <w:rsid w:val="004E6E9E"/>
    <w:pPr>
      <w:widowControl/>
      <w:suppressLineNumbers/>
    </w:pPr>
    <w:rPr>
      <w:rFonts w:eastAsia="Times New Roman" w:cs="Times New Roman"/>
      <w:sz w:val="20"/>
      <w:szCs w:val="20"/>
    </w:rPr>
  </w:style>
  <w:style w:type="paragraph" w:customStyle="1" w:styleId="Standard">
    <w:name w:val="Standard"/>
    <w:rsid w:val="00C67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C676F5"/>
    <w:pPr>
      <w:jc w:val="both"/>
    </w:pPr>
  </w:style>
  <w:style w:type="paragraph" w:styleId="Podtytu">
    <w:name w:val="Subtitle"/>
    <w:basedOn w:val="Standard"/>
    <w:next w:val="Textbody"/>
    <w:link w:val="PodtytuZnak"/>
    <w:rsid w:val="00C676F5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676F5"/>
    <w:rPr>
      <w:rFonts w:ascii="Times New Roman" w:eastAsia="Times New Roman" w:hAnsi="Times New Roman" w:cs="Times New Roman"/>
      <w:b/>
      <w:kern w:val="3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7</cp:revision>
  <dcterms:created xsi:type="dcterms:W3CDTF">2012-07-11T07:41:00Z</dcterms:created>
  <dcterms:modified xsi:type="dcterms:W3CDTF">2012-07-11T09:54:00Z</dcterms:modified>
</cp:coreProperties>
</file>