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 xml:space="preserve">Pakiet nr I   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Preparaty do mycia i dezynfekcji rąk i skóry.</w:t>
      </w:r>
    </w:p>
    <w:p w:rsidR="00C676F5" w:rsidRDefault="004B3ED1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</w:t>
      </w:r>
      <w:r w:rsidR="00C676F5">
        <w:rPr>
          <w:b/>
          <w:sz w:val="24"/>
          <w:szCs w:val="24"/>
          <w:u w:val="single"/>
        </w:rPr>
        <w:t>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4E6E9E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do chirurgicznego i higienicznego mycia rąk i ciała, na bazie syntetycznych składników. Zawierający APG, oraz składniki natłuszczające. Niezawierający mydła. Niepowodujący wysuszania skóry rąk o lekko kwaśnym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5,0, usuwający pozostałości po maściach. Przetestowany klinicznie i dermatologicznie. Preparat kompatybilny ( tego samego producenta) z preparatem do dezynfekcji rąk.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  <w:r w:rsidRPr="004E6E9E">
              <w:rPr>
                <w:b w:val="0"/>
                <w:i w:val="0"/>
                <w:color w:val="000000"/>
                <w:sz w:val="26"/>
                <w:szCs w:val="26"/>
              </w:rPr>
              <w:t>But.500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200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E6E9E" w:rsidRDefault="004E6E9E" w:rsidP="004E6E9E">
            <w:pPr>
              <w:pStyle w:val="TableHeading"/>
              <w:jc w:val="left"/>
              <w:rPr>
                <w:sz w:val="22"/>
                <w:szCs w:val="22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do chirurgicznego i higienicznego mycia rąk i ciała, na bazie syntetycznych składników. Zawierający APG, oraz składniki natłuszczające. Niezawierający mydła. Niepowodujący wysuszania skóry rąk o lekko kwaśnym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5,0, usuwający pozostałości po maściach. Przetestowany klinicznie i dermatologicznie. Preparat kompatybilny ( tego samego producenta) z preparatem do dezynfekcji rąk.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Kan.5-6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520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Heading"/>
              <w:jc w:val="left"/>
              <w:rPr>
                <w:sz w:val="24"/>
                <w:szCs w:val="24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alkoholowy do higienicznej i chirurgicznej dezynfekcji i pielęgnacji rąk, niealergizujący i nie wysuszający  o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5,0. Działający na bakterie( włącznie z TBC), grzyby, wirusy ( wirus opryszczki, rota, HBV, HIV)., zawierający substancje z trzech różnych grup chemicznych,</w:t>
            </w:r>
            <w:r w:rsidR="00C676F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bez zawartości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chlorheksydyny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i pochodnych fenolowych ,o przedłużonym ( min.3 h) działaniu. Przebadany klinicznie i dermatologicznie. Posiadający pozytywną kliniczną opinię 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IMiDz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500 ml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  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C676F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Heading"/>
              <w:jc w:val="left"/>
              <w:rPr>
                <w:sz w:val="24"/>
                <w:szCs w:val="24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Preparat alkoholowy do higienicznej i chirurgicznej dezynfekcji i pielęgnacji rąk, niealergizujący i nie wysuszający  o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5,0. Działający na bakterie( włącznie z TBC), grzyby, wirusy ( wirus opryszczki, rota, HBV, HIV)., zawierający substancje z trzech różnych grup chemicznych,</w:t>
            </w:r>
            <w:r w:rsidR="00C676F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bez zawartości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chlorheksydyny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i pochodnych fenolowych ,o przedłużonym ( min.3 h) działaniu. Przebadany klinicznie i dermatologicznie. Posiadający pozytywną kliniczną opinię 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IMiDz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Kan.5 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 L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C676F5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Heading"/>
              <w:jc w:val="left"/>
              <w:rPr>
                <w:sz w:val="24"/>
                <w:szCs w:val="24"/>
              </w:rPr>
            </w:pP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Preparat w postaci piany, do jednoczesnego higienicznego i chirurgicznego mycia i odkażania rąk i  ciała ,niezawierający mydła,</w:t>
            </w:r>
            <w:r w:rsidR="00C676F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barwników ani substancji zapachowych,</w:t>
            </w:r>
            <w:r w:rsidR="00C676F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zawierajacy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triclosan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 xml:space="preserve"> 5,5, chroniący skórę przed wysuszaniem. Aktywny wobec bakterii( MRSA, ORSA), grzybów,</w:t>
            </w:r>
            <w:r w:rsidR="00C676F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4E6E9E">
              <w:rPr>
                <w:b w:val="0"/>
                <w:i w:val="0"/>
                <w:color w:val="000000"/>
                <w:sz w:val="22"/>
                <w:szCs w:val="22"/>
              </w:rPr>
              <w:t>wirusów( HBV, HCV,HIV ). przebadany dermatologicznie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4E6E9E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 200 ml z atomizerem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  <w:r w:rsidRPr="004B3ED1">
              <w:rPr>
                <w:i w:val="0"/>
                <w:color w:val="000000"/>
                <w:sz w:val="26"/>
                <w:szCs w:val="26"/>
              </w:rPr>
              <w:t>18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6E9E" w:rsidRPr="004B3ED1" w:rsidRDefault="004E6E9E" w:rsidP="00EF4B36">
            <w:pPr>
              <w:pStyle w:val="TableHeading"/>
              <w:rPr>
                <w:i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4E6E9E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C676F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 w:rsidP="00C676F5">
      <w:pPr>
        <w:pStyle w:val="Standar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Wykonawca dołączy nieodpłatnie na czas realizacji zamówienia 80 szt. dozowników łokciowych  ściennych w celu ułatwień w procesie uzupełniania preparatów ( kompatybilność opakowań i dozowników )</w:t>
      </w:r>
    </w:p>
    <w:p w:rsidR="004E6E9E" w:rsidRDefault="004E6E9E"/>
    <w:p w:rsidR="00C676F5" w:rsidRDefault="004B3ED1" w:rsidP="004B3ED1">
      <w:pPr>
        <w:jc w:val="right"/>
        <w:rPr>
          <w:rFonts w:cs="Times New Roman"/>
          <w:color w:val="000000"/>
        </w:rPr>
      </w:pPr>
      <w:bookmarkStart w:id="0" w:name="_GoBack"/>
      <w:r w:rsidRPr="003934C6">
        <w:rPr>
          <w:rFonts w:cs="Times New Roman"/>
          <w:color w:val="000000"/>
        </w:rPr>
        <w:t>Data podpis i pieczęć wykonawcy</w:t>
      </w:r>
    </w:p>
    <w:p w:rsidR="004B3ED1" w:rsidRDefault="004B3ED1" w:rsidP="004B3ED1">
      <w:pPr>
        <w:jc w:val="right"/>
      </w:pPr>
      <w:r>
        <w:rPr>
          <w:rFonts w:cs="Times New Roman"/>
          <w:color w:val="000000"/>
        </w:rPr>
        <w:t>……………………………………</w:t>
      </w:r>
      <w:bookmarkEnd w:id="0"/>
    </w:p>
    <w:sectPr w:rsidR="004B3ED1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3ED1"/>
    <w:rsid w:val="004E6E9E"/>
    <w:rsid w:val="005C4EA4"/>
    <w:rsid w:val="00B51FAB"/>
    <w:rsid w:val="00C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2012-07-11T07:41:00Z</dcterms:created>
  <dcterms:modified xsi:type="dcterms:W3CDTF">2012-07-11T09:45:00Z</dcterms:modified>
</cp:coreProperties>
</file>